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200"/>
      </w:pPr>
    </w:p>
    <w:p>
      <w:pPr>
        <w:spacing w:after="14" w:before="0"/>
        <w:jc w:val="center"/>
      </w:pPr>
      <w:r>
        <w:rPr>
          <w:rFonts w:ascii="Arial" w:cs="Arial" w:eastAsia="Arial" w:hAnsi="Arial"/>
          <w:color w:val="4A5568"/>
          <w:sz w:val="22"/>
          <w:szCs w:val="22"/>
        </w:rPr>
        <w:t xml:space="preserve">JUDGMENT INDEX AUSTRALIA</w:t>
      </w:r>
    </w:p>
    <w:p>
      <w:pPr>
        <w:spacing w:after="14" w:before="0"/>
        <w:jc w:val="center"/>
      </w:pPr>
      <w:r>
        <w:rPr>
          <w:rFonts w:ascii="Arial" w:cs="Arial" w:eastAsia="Arial" w:hAnsi="Arial"/>
          <w:b/>
          <w:bCs/>
          <w:color w:val="1B3A6B"/>
          <w:sz w:val="40"/>
          <w:szCs w:val="40"/>
        </w:rPr>
        <w:t xml:space="preserve">WHITE PAPER SERIES</w:t>
      </w:r>
    </w:p>
    <w:p>
      <w:pPr>
        <w:spacing w:after="14" w:before="0"/>
        <w:jc w:val="center"/>
      </w:pPr>
      <w:r>
        <w:rPr>
          <w:rFonts w:ascii="Arial" w:cs="Arial" w:eastAsia="Arial" w:hAnsi="Arial"/>
          <w:color w:val="0D7A6B"/>
          <w:sz w:val="26"/>
          <w:szCs w:val="26"/>
        </w:rPr>
        <w:t xml:space="preserve">Human-Centric First Principles Intelligence™</w:t>
      </w:r>
    </w:p>
    <w:p>
      <w:pPr>
        <w:pBdr>
          <w:bottom w:val="single" w:color="0D7A6B" w:sz="8" w:space="1"/>
        </w:pBdr>
        <w:spacing w:after="160" w:before="12"/>
        <w:jc w:val="center"/>
      </w:pPr>
      <w:r>
        <w:rPr>
          <w:rFonts w:ascii="Arial" w:cs="Arial" w:eastAsia="Arial" w:hAnsi="Arial"/>
          <w:i/>
          <w:iCs/>
          <w:color w:val="4A5568"/>
          <w:sz w:val="20"/>
          <w:szCs w:val="20"/>
        </w:rPr>
        <w:t xml:space="preserve">Ten Evidence-Based Papers for Australian Boards, Executives and HR Leaders — Professor-Level Rigour, Executive-Level Clarity</w:t>
      </w:r>
    </w:p>
    <w:p>
      <w:pPr>
        <w:spacing w:after="0" w:before="60"/>
      </w:pPr>
    </w:p>
    <w:p>
      <w:pPr>
        <w:spacing w:after="65" w:before="65"/>
      </w:pPr>
      <w:r>
        <w:rPr>
          <w:rFonts w:ascii="Arial" w:cs="Arial" w:eastAsia="Arial" w:hAnsi="Arial"/>
          <w:b w:val="false"/>
          <w:bCs w:val="false"/>
          <w:i w:val="false"/>
          <w:iCs w:val="false"/>
          <w:color w:val="1A1A2E"/>
          <w:sz w:val="22"/>
          <w:szCs w:val="22"/>
        </w:rPr>
        <w:t xml:space="preserve">This series of ten white papers is designed to establish Judgment Index Australia as the leading intellectual authority on human judgement intelligence in the Australian and APAC markets. Each paper is written as a standalone document suitable for email gating, LinkedIn distribution, conference presentation and board-level reference.</w:t>
      </w:r>
    </w:p>
    <w:p>
      <w:pPr>
        <w:spacing w:after="0" w:before="55"/>
      </w:pPr>
    </w:p>
    <w:p>
      <w:pPr>
        <w:spacing w:after="65" w:before="65"/>
      </w:pPr>
      <w:r>
        <w:rPr>
          <w:rFonts w:ascii="Arial" w:cs="Arial" w:eastAsia="Arial" w:hAnsi="Arial"/>
          <w:b w:val="false"/>
          <w:bCs w:val="false"/>
          <w:i w:val="false"/>
          <w:iCs w:val="false"/>
          <w:color w:val="1A1A2E"/>
          <w:sz w:val="22"/>
          <w:szCs w:val="22"/>
        </w:rPr>
        <w:t xml:space="preserve">Each white paper follows a consistent structure: the problem, the evidence, the JI insight, the practical application, and the next step. Each one is written for a specific audience while remaining accessible to any executive reader.</w:t>
      </w:r>
    </w:p>
    <w:p>
      <w:pPr>
        <w:spacing w:after="0" w:before="7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20"/>
        <w:gridCol w:w="3960"/>
        <w:gridCol w:w="2880"/>
        <w:gridCol w:w="1800"/>
      </w:tblGrid>
      <w:tr>
        <w:tc>
          <w:tcPr>
            <w:tcW w:type="dxa" w:w="720"/>
            <w:tcBorders>
              <w:top w:val="single" w:color="CCCCCC" w:sz="1"/>
              <w:left w:val="single" w:color="CCCCCC" w:sz="1"/>
              <w:bottom w:val="single" w:color="CCCCCC" w:sz="1"/>
              <w:right w:val="single" w:color="CCCCCC" w:sz="1"/>
            </w:tcBorders>
            <w:shd w:fill="1B3A6B" w:val="clear"/>
            <w:tcMar>
              <w:top w:type="dxa" w:w="85"/>
              <w:left w:type="dxa" w:w="100"/>
              <w:bottom w:type="dxa" w:w="85"/>
              <w:right w:type="dxa" w:w="100"/>
            </w:tcMar>
          </w:tcPr>
          <w:p>
            <w:r>
              <w:rPr>
                <w:rFonts w:ascii="Arial" w:cs="Arial" w:eastAsia="Arial" w:hAnsi="Arial"/>
                <w:b/>
                <w:bCs/>
                <w:color w:val="FFFFFF"/>
                <w:sz w:val="19"/>
                <w:szCs w:val="19"/>
              </w:rPr>
              <w:t xml:space="preserve">Paper</w:t>
            </w:r>
          </w:p>
        </w:tc>
        <w:tc>
          <w:tcPr>
            <w:tcW w:type="dxa" w:w="3960"/>
            <w:tcBorders>
              <w:top w:val="single" w:color="CCCCCC" w:sz="1"/>
              <w:left w:val="single" w:color="CCCCCC" w:sz="1"/>
              <w:bottom w:val="single" w:color="CCCCCC" w:sz="1"/>
              <w:right w:val="single" w:color="CCCCCC" w:sz="1"/>
            </w:tcBorders>
            <w:shd w:fill="1B3A6B" w:val="clear"/>
            <w:tcMar>
              <w:top w:type="dxa" w:w="85"/>
              <w:left w:type="dxa" w:w="100"/>
              <w:bottom w:type="dxa" w:w="85"/>
              <w:right w:type="dxa" w:w="100"/>
            </w:tcMar>
          </w:tcPr>
          <w:p>
            <w:r>
              <w:rPr>
                <w:rFonts w:ascii="Arial" w:cs="Arial" w:eastAsia="Arial" w:hAnsi="Arial"/>
                <w:b/>
                <w:bCs/>
                <w:color w:val="FFFFFF"/>
                <w:sz w:val="19"/>
                <w:szCs w:val="19"/>
              </w:rPr>
              <w:t xml:space="preserve">Title</w:t>
            </w:r>
          </w:p>
        </w:tc>
        <w:tc>
          <w:tcPr>
            <w:tcW w:type="dxa" w:w="2880"/>
            <w:tcBorders>
              <w:top w:val="single" w:color="CCCCCC" w:sz="1"/>
              <w:left w:val="single" w:color="CCCCCC" w:sz="1"/>
              <w:bottom w:val="single" w:color="CCCCCC" w:sz="1"/>
              <w:right w:val="single" w:color="CCCCCC" w:sz="1"/>
            </w:tcBorders>
            <w:shd w:fill="1B3A6B" w:val="clear"/>
            <w:tcMar>
              <w:top w:type="dxa" w:w="85"/>
              <w:left w:type="dxa" w:w="100"/>
              <w:bottom w:type="dxa" w:w="85"/>
              <w:right w:type="dxa" w:w="100"/>
            </w:tcMar>
          </w:tcPr>
          <w:p>
            <w:r>
              <w:rPr>
                <w:rFonts w:ascii="Arial" w:cs="Arial" w:eastAsia="Arial" w:hAnsi="Arial"/>
                <w:b/>
                <w:bCs/>
                <w:color w:val="FFFFFF"/>
                <w:sz w:val="19"/>
                <w:szCs w:val="19"/>
              </w:rPr>
              <w:t xml:space="preserve">Primary Audience</w:t>
            </w:r>
          </w:p>
        </w:tc>
        <w:tc>
          <w:tcPr>
            <w:tcW w:type="dxa" w:w="1800"/>
            <w:tcBorders>
              <w:top w:val="single" w:color="CCCCCC" w:sz="1"/>
              <w:left w:val="single" w:color="CCCCCC" w:sz="1"/>
              <w:bottom w:val="single" w:color="CCCCCC" w:sz="1"/>
              <w:right w:val="single" w:color="CCCCCC" w:sz="1"/>
            </w:tcBorders>
            <w:shd w:fill="1B3A6B" w:val="clear"/>
            <w:tcMar>
              <w:top w:type="dxa" w:w="85"/>
              <w:left w:type="dxa" w:w="100"/>
              <w:bottom w:type="dxa" w:w="85"/>
              <w:right w:type="dxa" w:w="100"/>
            </w:tcMar>
          </w:tcPr>
          <w:p>
            <w:r>
              <w:rPr>
                <w:rFonts w:ascii="Arial" w:cs="Arial" w:eastAsia="Arial" w:hAnsi="Arial"/>
                <w:b/>
                <w:bCs/>
                <w:color w:val="FFFFFF"/>
                <w:sz w:val="19"/>
                <w:szCs w:val="19"/>
              </w:rPr>
              <w:t xml:space="preserve">Lead Magnet Use</w:t>
            </w:r>
          </w:p>
        </w:tc>
      </w:tr>
      <w:tr>
        <w:tc>
          <w:tcPr>
            <w:tcW w:type="dxa" w:w="720"/>
            <w:tcBorders>
              <w:top w:val="single" w:color="CCCCCC" w:sz="1"/>
              <w:left w:val="single" w:color="CCCCCC" w:sz="1"/>
              <w:bottom w:val="single" w:color="CCCCCC" w:sz="1"/>
              <w:right w:val="single" w:color="CCCCCC" w:sz="1"/>
            </w:tcBorders>
            <w:shd w:fill="E8EDF5" w:val="clear"/>
            <w:tcMar>
              <w:top w:type="dxa" w:w="65"/>
              <w:left w:type="dxa" w:w="100"/>
              <w:bottom w:type="dxa" w:w="65"/>
              <w:right w:type="dxa" w:w="100"/>
            </w:tcMar>
          </w:tcPr>
          <w:p>
            <w:r>
              <w:rPr>
                <w:rFonts w:ascii="Arial" w:cs="Arial" w:eastAsia="Arial" w:hAnsi="Arial"/>
                <w:b/>
                <w:bCs/>
                <w:color w:val="1B3A6B"/>
                <w:sz w:val="19"/>
                <w:szCs w:val="19"/>
              </w:rPr>
              <w:t xml:space="preserve">1</w:t>
            </w:r>
          </w:p>
        </w:tc>
        <w:tc>
          <w:tcPr>
            <w:tcW w:type="dxa" w:w="3960"/>
            <w:tcBorders>
              <w:top w:val="single" w:color="CCCCCC" w:sz="1"/>
              <w:left w:val="single" w:color="CCCCCC" w:sz="1"/>
              <w:bottom w:val="single" w:color="CCCCCC" w:sz="1"/>
              <w:right w:val="single" w:color="CCCCCC" w:sz="1"/>
            </w:tcBorders>
            <w:shd w:fill="EEF2F8" w:val="clear"/>
            <w:tcMar>
              <w:top w:type="dxa" w:w="65"/>
              <w:left w:type="dxa" w:w="100"/>
              <w:bottom w:type="dxa" w:w="65"/>
              <w:right w:type="dxa" w:w="100"/>
            </w:tcMar>
          </w:tcPr>
          <w:p>
            <w:r>
              <w:rPr>
                <w:rFonts w:ascii="Arial" w:cs="Arial" w:eastAsia="Arial" w:hAnsi="Arial"/>
                <w:b w:val="false"/>
                <w:bCs w:val="false"/>
                <w:color w:val="1A1A2E"/>
                <w:sz w:val="19"/>
                <w:szCs w:val="19"/>
              </w:rPr>
              <w:t xml:space="preserve">The Science of Judgement: Why Axiology Outperforms Personality Profiling</w:t>
            </w:r>
          </w:p>
        </w:tc>
        <w:tc>
          <w:tcPr>
            <w:tcW w:type="dxa" w:w="2880"/>
            <w:tcBorders>
              <w:top w:val="single" w:color="CCCCCC" w:sz="1"/>
              <w:left w:val="single" w:color="CCCCCC" w:sz="1"/>
              <w:bottom w:val="single" w:color="CCCCCC" w:sz="1"/>
              <w:right w:val="single" w:color="CCCCCC" w:sz="1"/>
            </w:tcBorders>
            <w:shd w:fill="E6F4F1" w:val="clear"/>
            <w:tcMar>
              <w:top w:type="dxa" w:w="65"/>
              <w:left w:type="dxa" w:w="100"/>
              <w:bottom w:type="dxa" w:w="65"/>
              <w:right w:type="dxa" w:w="100"/>
            </w:tcMar>
          </w:tcPr>
          <w:p>
            <w:r>
              <w:rPr>
                <w:rFonts w:ascii="Arial" w:cs="Arial" w:eastAsia="Arial" w:hAnsi="Arial"/>
                <w:b w:val="false"/>
                <w:bCs w:val="false"/>
                <w:color w:val="1A1A2E"/>
                <w:sz w:val="19"/>
                <w:szCs w:val="19"/>
              </w:rPr>
              <w:t xml:space="preserve">CEOs, CHROs, Executive Coaches</w:t>
            </w:r>
          </w:p>
        </w:tc>
        <w:tc>
          <w:tcPr>
            <w:tcW w:type="dxa" w:w="1800"/>
            <w:tcBorders>
              <w:top w:val="single" w:color="CCCCCC" w:sz="1"/>
              <w:left w:val="single" w:color="CCCCCC" w:sz="1"/>
              <w:bottom w:val="single" w:color="CCCCCC" w:sz="1"/>
              <w:right w:val="single" w:color="CCCCCC" w:sz="1"/>
            </w:tcBorders>
            <w:shd w:fill="E8F5EE" w:val="clear"/>
            <w:tcMar>
              <w:top w:type="dxa" w:w="65"/>
              <w:left w:type="dxa" w:w="100"/>
              <w:bottom w:type="dxa" w:w="65"/>
              <w:right w:type="dxa" w:w="100"/>
            </w:tcMar>
          </w:tcPr>
          <w:p>
            <w:r>
              <w:rPr>
                <w:rFonts w:ascii="Arial" w:cs="Arial" w:eastAsia="Arial" w:hAnsi="Arial"/>
                <w:b w:val="false"/>
                <w:bCs w:val="false"/>
                <w:color w:val="1A1A2E"/>
                <w:sz w:val="19"/>
                <w:szCs w:val="19"/>
              </w:rPr>
              <w:t xml:space="preserve">Website gating on /the-judgment-index-ji/ page</w:t>
            </w:r>
          </w:p>
        </w:tc>
      </w:tr>
      <w:tr>
        <w:tc>
          <w:tcPr>
            <w:tcW w:type="dxa" w:w="720"/>
            <w:tcBorders>
              <w:top w:val="single" w:color="CCCCCC" w:sz="1"/>
              <w:left w:val="single" w:color="CCCCCC" w:sz="1"/>
              <w:bottom w:val="single" w:color="CCCCCC" w:sz="1"/>
              <w:right w:val="single" w:color="CCCCCC" w:sz="1"/>
            </w:tcBorders>
            <w:shd w:fill="E8EDF5" w:val="clear"/>
            <w:tcMar>
              <w:top w:type="dxa" w:w="65"/>
              <w:left w:type="dxa" w:w="100"/>
              <w:bottom w:type="dxa" w:w="65"/>
              <w:right w:type="dxa" w:w="100"/>
            </w:tcMar>
          </w:tcPr>
          <w:p>
            <w:r>
              <w:rPr>
                <w:rFonts w:ascii="Arial" w:cs="Arial" w:eastAsia="Arial" w:hAnsi="Arial"/>
                <w:b/>
                <w:bCs/>
                <w:color w:val="1B3A6B"/>
                <w:sz w:val="19"/>
                <w:szCs w:val="19"/>
              </w:rPr>
              <w:t xml:space="preserve">2</w:t>
            </w:r>
          </w:p>
        </w:tc>
        <w:tc>
          <w:tcPr>
            <w:tcW w:type="dxa" w:w="3960"/>
            <w:tcBorders>
              <w:top w:val="single" w:color="CCCCCC" w:sz="1"/>
              <w:left w:val="single" w:color="CCCCCC" w:sz="1"/>
              <w:bottom w:val="single" w:color="CCCCCC" w:sz="1"/>
              <w:right w:val="single" w:color="CCCCCC" w:sz="1"/>
            </w:tcBorders>
            <w:shd w:fill="EEF2F8" w:val="clear"/>
            <w:tcMar>
              <w:top w:type="dxa" w:w="65"/>
              <w:left w:type="dxa" w:w="100"/>
              <w:bottom w:type="dxa" w:w="65"/>
              <w:right w:type="dxa" w:w="100"/>
            </w:tcMar>
          </w:tcPr>
          <w:p>
            <w:r>
              <w:rPr>
                <w:rFonts w:ascii="Arial" w:cs="Arial" w:eastAsia="Arial" w:hAnsi="Arial"/>
                <w:b w:val="false"/>
                <w:bCs w:val="false"/>
                <w:color w:val="1A1A2E"/>
                <w:sz w:val="19"/>
                <w:szCs w:val="19"/>
              </w:rPr>
              <w:t xml:space="preserve">The Hidden Human Risk Report: What Australian Organisations Are Not Measuring</w:t>
            </w:r>
          </w:p>
        </w:tc>
        <w:tc>
          <w:tcPr>
            <w:tcW w:type="dxa" w:w="2880"/>
            <w:tcBorders>
              <w:top w:val="single" w:color="CCCCCC" w:sz="1"/>
              <w:left w:val="single" w:color="CCCCCC" w:sz="1"/>
              <w:bottom w:val="single" w:color="CCCCCC" w:sz="1"/>
              <w:right w:val="single" w:color="CCCCCC" w:sz="1"/>
            </w:tcBorders>
            <w:shd w:fill="E6F4F1" w:val="clear"/>
            <w:tcMar>
              <w:top w:type="dxa" w:w="65"/>
              <w:left w:type="dxa" w:w="100"/>
              <w:bottom w:type="dxa" w:w="65"/>
              <w:right w:type="dxa" w:w="100"/>
            </w:tcMar>
          </w:tcPr>
          <w:p>
            <w:r>
              <w:rPr>
                <w:rFonts w:ascii="Arial" w:cs="Arial" w:eastAsia="Arial" w:hAnsi="Arial"/>
                <w:b w:val="false"/>
                <w:bCs w:val="false"/>
                <w:color w:val="1A1A2E"/>
                <w:sz w:val="19"/>
                <w:szCs w:val="19"/>
              </w:rPr>
              <w:t xml:space="preserve">CEOs, Board Directors, CHROs</w:t>
            </w:r>
          </w:p>
        </w:tc>
        <w:tc>
          <w:tcPr>
            <w:tcW w:type="dxa" w:w="1800"/>
            <w:tcBorders>
              <w:top w:val="single" w:color="CCCCCC" w:sz="1"/>
              <w:left w:val="single" w:color="CCCCCC" w:sz="1"/>
              <w:bottom w:val="single" w:color="CCCCCC" w:sz="1"/>
              <w:right w:val="single" w:color="CCCCCC" w:sz="1"/>
            </w:tcBorders>
            <w:shd w:fill="E8F5EE" w:val="clear"/>
            <w:tcMar>
              <w:top w:type="dxa" w:w="65"/>
              <w:left w:type="dxa" w:w="100"/>
              <w:bottom w:type="dxa" w:w="65"/>
              <w:right w:type="dxa" w:w="100"/>
            </w:tcMar>
          </w:tcPr>
          <w:p>
            <w:r>
              <w:rPr>
                <w:rFonts w:ascii="Arial" w:cs="Arial" w:eastAsia="Arial" w:hAnsi="Arial"/>
                <w:b w:val="false"/>
                <w:bCs w:val="false"/>
                <w:color w:val="1A1A2E"/>
                <w:sz w:val="19"/>
                <w:szCs w:val="19"/>
              </w:rPr>
              <w:t xml:space="preserve">Homepage lead magnet - Concept 1 hero CTA</w:t>
            </w:r>
          </w:p>
        </w:tc>
      </w:tr>
      <w:tr>
        <w:tc>
          <w:tcPr>
            <w:tcW w:type="dxa" w:w="720"/>
            <w:tcBorders>
              <w:top w:val="single" w:color="CCCCCC" w:sz="1"/>
              <w:left w:val="single" w:color="CCCCCC" w:sz="1"/>
              <w:bottom w:val="single" w:color="CCCCCC" w:sz="1"/>
              <w:right w:val="single" w:color="CCCCCC" w:sz="1"/>
            </w:tcBorders>
            <w:shd w:fill="E8EDF5" w:val="clear"/>
            <w:tcMar>
              <w:top w:type="dxa" w:w="65"/>
              <w:left w:type="dxa" w:w="100"/>
              <w:bottom w:type="dxa" w:w="65"/>
              <w:right w:type="dxa" w:w="100"/>
            </w:tcMar>
          </w:tcPr>
          <w:p>
            <w:r>
              <w:rPr>
                <w:rFonts w:ascii="Arial" w:cs="Arial" w:eastAsia="Arial" w:hAnsi="Arial"/>
                <w:b/>
                <w:bCs/>
                <w:color w:val="1B3A6B"/>
                <w:sz w:val="19"/>
                <w:szCs w:val="19"/>
              </w:rPr>
              <w:t xml:space="preserve">3</w:t>
            </w:r>
          </w:p>
        </w:tc>
        <w:tc>
          <w:tcPr>
            <w:tcW w:type="dxa" w:w="3960"/>
            <w:tcBorders>
              <w:top w:val="single" w:color="CCCCCC" w:sz="1"/>
              <w:left w:val="single" w:color="CCCCCC" w:sz="1"/>
              <w:bottom w:val="single" w:color="CCCCCC" w:sz="1"/>
              <w:right w:val="single" w:color="CCCCCC" w:sz="1"/>
            </w:tcBorders>
            <w:shd w:fill="EEF2F8" w:val="clear"/>
            <w:tcMar>
              <w:top w:type="dxa" w:w="65"/>
              <w:left w:type="dxa" w:w="100"/>
              <w:bottom w:type="dxa" w:w="65"/>
              <w:right w:type="dxa" w:w="100"/>
            </w:tcMar>
          </w:tcPr>
          <w:p>
            <w:r>
              <w:rPr>
                <w:rFonts w:ascii="Arial" w:cs="Arial" w:eastAsia="Arial" w:hAnsi="Arial"/>
                <w:b w:val="false"/>
                <w:bCs w:val="false"/>
                <w:color w:val="1A1A2E"/>
                <w:sz w:val="19"/>
                <w:szCs w:val="19"/>
              </w:rPr>
              <w:t xml:space="preserve">Burnout Before It Breaks: Measuring Human Sustainability in Australian Workplaces</w:t>
            </w:r>
          </w:p>
        </w:tc>
        <w:tc>
          <w:tcPr>
            <w:tcW w:type="dxa" w:w="2880"/>
            <w:tcBorders>
              <w:top w:val="single" w:color="CCCCCC" w:sz="1"/>
              <w:left w:val="single" w:color="CCCCCC" w:sz="1"/>
              <w:bottom w:val="single" w:color="CCCCCC" w:sz="1"/>
              <w:right w:val="single" w:color="CCCCCC" w:sz="1"/>
            </w:tcBorders>
            <w:shd w:fill="E6F4F1" w:val="clear"/>
            <w:tcMar>
              <w:top w:type="dxa" w:w="65"/>
              <w:left w:type="dxa" w:w="100"/>
              <w:bottom w:type="dxa" w:w="65"/>
              <w:right w:type="dxa" w:w="100"/>
            </w:tcMar>
          </w:tcPr>
          <w:p>
            <w:r>
              <w:rPr>
                <w:rFonts w:ascii="Arial" w:cs="Arial" w:eastAsia="Arial" w:hAnsi="Arial"/>
                <w:b w:val="false"/>
                <w:bCs w:val="false"/>
                <w:color w:val="1A1A2E"/>
                <w:sz w:val="19"/>
                <w:szCs w:val="19"/>
              </w:rPr>
              <w:t xml:space="preserve">CHROs, HR Directors, WHS Managers</w:t>
            </w:r>
          </w:p>
        </w:tc>
        <w:tc>
          <w:tcPr>
            <w:tcW w:type="dxa" w:w="1800"/>
            <w:tcBorders>
              <w:top w:val="single" w:color="CCCCCC" w:sz="1"/>
              <w:left w:val="single" w:color="CCCCCC" w:sz="1"/>
              <w:bottom w:val="single" w:color="CCCCCC" w:sz="1"/>
              <w:right w:val="single" w:color="CCCCCC" w:sz="1"/>
            </w:tcBorders>
            <w:shd w:fill="E8F5EE" w:val="clear"/>
            <w:tcMar>
              <w:top w:type="dxa" w:w="65"/>
              <w:left w:type="dxa" w:w="100"/>
              <w:bottom w:type="dxa" w:w="65"/>
              <w:right w:type="dxa" w:w="100"/>
            </w:tcMar>
          </w:tcPr>
          <w:p>
            <w:r>
              <w:rPr>
                <w:rFonts w:ascii="Arial" w:cs="Arial" w:eastAsia="Arial" w:hAnsi="Arial"/>
                <w:b w:val="false"/>
                <w:bCs w:val="false"/>
                <w:color w:val="1A1A2E"/>
                <w:sz w:val="19"/>
                <w:szCs w:val="19"/>
              </w:rPr>
              <w:t xml:space="preserve">Email nurture sequence Email 2</w:t>
            </w:r>
          </w:p>
        </w:tc>
      </w:tr>
      <w:tr>
        <w:tc>
          <w:tcPr>
            <w:tcW w:type="dxa" w:w="720"/>
            <w:tcBorders>
              <w:top w:val="single" w:color="CCCCCC" w:sz="1"/>
              <w:left w:val="single" w:color="CCCCCC" w:sz="1"/>
              <w:bottom w:val="single" w:color="CCCCCC" w:sz="1"/>
              <w:right w:val="single" w:color="CCCCCC" w:sz="1"/>
            </w:tcBorders>
            <w:shd w:fill="E8EDF5" w:val="clear"/>
            <w:tcMar>
              <w:top w:type="dxa" w:w="65"/>
              <w:left w:type="dxa" w:w="100"/>
              <w:bottom w:type="dxa" w:w="65"/>
              <w:right w:type="dxa" w:w="100"/>
            </w:tcMar>
          </w:tcPr>
          <w:p>
            <w:r>
              <w:rPr>
                <w:rFonts w:ascii="Arial" w:cs="Arial" w:eastAsia="Arial" w:hAnsi="Arial"/>
                <w:b/>
                <w:bCs/>
                <w:color w:val="1B3A6B"/>
                <w:sz w:val="19"/>
                <w:szCs w:val="19"/>
              </w:rPr>
              <w:t xml:space="preserve">4</w:t>
            </w:r>
          </w:p>
        </w:tc>
        <w:tc>
          <w:tcPr>
            <w:tcW w:type="dxa" w:w="3960"/>
            <w:tcBorders>
              <w:top w:val="single" w:color="CCCCCC" w:sz="1"/>
              <w:left w:val="single" w:color="CCCCCC" w:sz="1"/>
              <w:bottom w:val="single" w:color="CCCCCC" w:sz="1"/>
              <w:right w:val="single" w:color="CCCCCC" w:sz="1"/>
            </w:tcBorders>
            <w:shd w:fill="EEF2F8" w:val="clear"/>
            <w:tcMar>
              <w:top w:type="dxa" w:w="65"/>
              <w:left w:type="dxa" w:w="100"/>
              <w:bottom w:type="dxa" w:w="65"/>
              <w:right w:type="dxa" w:w="100"/>
            </w:tcMar>
          </w:tcPr>
          <w:p>
            <w:r>
              <w:rPr>
                <w:rFonts w:ascii="Arial" w:cs="Arial" w:eastAsia="Arial" w:hAnsi="Arial"/>
                <w:b w:val="false"/>
                <w:bCs w:val="false"/>
                <w:color w:val="1A1A2E"/>
                <w:sz w:val="19"/>
                <w:szCs w:val="19"/>
              </w:rPr>
              <w:t xml:space="preserve">Psychological Safety Is Not Enough: The Missing Measurement Layer</w:t>
            </w:r>
          </w:p>
        </w:tc>
        <w:tc>
          <w:tcPr>
            <w:tcW w:type="dxa" w:w="2880"/>
            <w:tcBorders>
              <w:top w:val="single" w:color="CCCCCC" w:sz="1"/>
              <w:left w:val="single" w:color="CCCCCC" w:sz="1"/>
              <w:bottom w:val="single" w:color="CCCCCC" w:sz="1"/>
              <w:right w:val="single" w:color="CCCCCC" w:sz="1"/>
            </w:tcBorders>
            <w:shd w:fill="E6F4F1" w:val="clear"/>
            <w:tcMar>
              <w:top w:type="dxa" w:w="65"/>
              <w:left w:type="dxa" w:w="100"/>
              <w:bottom w:type="dxa" w:w="65"/>
              <w:right w:type="dxa" w:w="100"/>
            </w:tcMar>
          </w:tcPr>
          <w:p>
            <w:r>
              <w:rPr>
                <w:rFonts w:ascii="Arial" w:cs="Arial" w:eastAsia="Arial" w:hAnsi="Arial"/>
                <w:b w:val="false"/>
                <w:bCs w:val="false"/>
                <w:color w:val="1A1A2E"/>
                <w:sz w:val="19"/>
                <w:szCs w:val="19"/>
              </w:rPr>
              <w:t xml:space="preserve">HR Directors, OD Professionals, Government</w:t>
            </w:r>
          </w:p>
        </w:tc>
        <w:tc>
          <w:tcPr>
            <w:tcW w:type="dxa" w:w="1800"/>
            <w:tcBorders>
              <w:top w:val="single" w:color="CCCCCC" w:sz="1"/>
              <w:left w:val="single" w:color="CCCCCC" w:sz="1"/>
              <w:bottom w:val="single" w:color="CCCCCC" w:sz="1"/>
              <w:right w:val="single" w:color="CCCCCC" w:sz="1"/>
            </w:tcBorders>
            <w:shd w:fill="E8F5EE" w:val="clear"/>
            <w:tcMar>
              <w:top w:type="dxa" w:w="65"/>
              <w:left w:type="dxa" w:w="100"/>
              <w:bottom w:type="dxa" w:w="65"/>
              <w:right w:type="dxa" w:w="100"/>
            </w:tcMar>
          </w:tcPr>
          <w:p>
            <w:r>
              <w:rPr>
                <w:rFonts w:ascii="Arial" w:cs="Arial" w:eastAsia="Arial" w:hAnsi="Arial"/>
                <w:b w:val="false"/>
                <w:bCs w:val="false"/>
                <w:color w:val="1A1A2E"/>
                <w:sz w:val="19"/>
                <w:szCs w:val="19"/>
              </w:rPr>
              <w:t xml:space="preserve">Concept 3 sector page lead magnet</w:t>
            </w:r>
          </w:p>
        </w:tc>
      </w:tr>
      <w:tr>
        <w:tc>
          <w:tcPr>
            <w:tcW w:type="dxa" w:w="720"/>
            <w:tcBorders>
              <w:top w:val="single" w:color="CCCCCC" w:sz="1"/>
              <w:left w:val="single" w:color="CCCCCC" w:sz="1"/>
              <w:bottom w:val="single" w:color="CCCCCC" w:sz="1"/>
              <w:right w:val="single" w:color="CCCCCC" w:sz="1"/>
            </w:tcBorders>
            <w:shd w:fill="E8EDF5" w:val="clear"/>
            <w:tcMar>
              <w:top w:type="dxa" w:w="65"/>
              <w:left w:type="dxa" w:w="100"/>
              <w:bottom w:type="dxa" w:w="65"/>
              <w:right w:type="dxa" w:w="100"/>
            </w:tcMar>
          </w:tcPr>
          <w:p>
            <w:r>
              <w:rPr>
                <w:rFonts w:ascii="Arial" w:cs="Arial" w:eastAsia="Arial" w:hAnsi="Arial"/>
                <w:b/>
                <w:bCs/>
                <w:color w:val="1B3A6B"/>
                <w:sz w:val="19"/>
                <w:szCs w:val="19"/>
              </w:rPr>
              <w:t xml:space="preserve">5</w:t>
            </w:r>
          </w:p>
        </w:tc>
        <w:tc>
          <w:tcPr>
            <w:tcW w:type="dxa" w:w="3960"/>
            <w:tcBorders>
              <w:top w:val="single" w:color="CCCCCC" w:sz="1"/>
              <w:left w:val="single" w:color="CCCCCC" w:sz="1"/>
              <w:bottom w:val="single" w:color="CCCCCC" w:sz="1"/>
              <w:right w:val="single" w:color="CCCCCC" w:sz="1"/>
            </w:tcBorders>
            <w:shd w:fill="EEF2F8" w:val="clear"/>
            <w:tcMar>
              <w:top w:type="dxa" w:w="65"/>
              <w:left w:type="dxa" w:w="100"/>
              <w:bottom w:type="dxa" w:w="65"/>
              <w:right w:type="dxa" w:w="100"/>
            </w:tcMar>
          </w:tcPr>
          <w:p>
            <w:r>
              <w:rPr>
                <w:rFonts w:ascii="Arial" w:cs="Arial" w:eastAsia="Arial" w:hAnsi="Arial"/>
                <w:b w:val="false"/>
                <w:bCs w:val="false"/>
                <w:color w:val="1A1A2E"/>
                <w:sz w:val="19"/>
                <w:szCs w:val="19"/>
              </w:rPr>
              <w:t xml:space="preserve">Board-Level Human Risk Intelligence: The Governance Gap No One Is Measuring</w:t>
            </w:r>
          </w:p>
        </w:tc>
        <w:tc>
          <w:tcPr>
            <w:tcW w:type="dxa" w:w="2880"/>
            <w:tcBorders>
              <w:top w:val="single" w:color="CCCCCC" w:sz="1"/>
              <w:left w:val="single" w:color="CCCCCC" w:sz="1"/>
              <w:bottom w:val="single" w:color="CCCCCC" w:sz="1"/>
              <w:right w:val="single" w:color="CCCCCC" w:sz="1"/>
            </w:tcBorders>
            <w:shd w:fill="E6F4F1" w:val="clear"/>
            <w:tcMar>
              <w:top w:type="dxa" w:w="65"/>
              <w:left w:type="dxa" w:w="100"/>
              <w:bottom w:type="dxa" w:w="65"/>
              <w:right w:type="dxa" w:w="100"/>
            </w:tcMar>
          </w:tcPr>
          <w:p>
            <w:r>
              <w:rPr>
                <w:rFonts w:ascii="Arial" w:cs="Arial" w:eastAsia="Arial" w:hAnsi="Arial"/>
                <w:b w:val="false"/>
                <w:bCs w:val="false"/>
                <w:color w:val="1A1A2E"/>
                <w:sz w:val="19"/>
                <w:szCs w:val="19"/>
              </w:rPr>
              <w:t xml:space="preserve">Board Directors, Company Secretaries, CEOs</w:t>
            </w:r>
          </w:p>
        </w:tc>
        <w:tc>
          <w:tcPr>
            <w:tcW w:type="dxa" w:w="1800"/>
            <w:tcBorders>
              <w:top w:val="single" w:color="CCCCCC" w:sz="1"/>
              <w:left w:val="single" w:color="CCCCCC" w:sz="1"/>
              <w:bottom w:val="single" w:color="CCCCCC" w:sz="1"/>
              <w:right w:val="single" w:color="CCCCCC" w:sz="1"/>
            </w:tcBorders>
            <w:shd w:fill="E8F5EE" w:val="clear"/>
            <w:tcMar>
              <w:top w:type="dxa" w:w="65"/>
              <w:left w:type="dxa" w:w="100"/>
              <w:bottom w:type="dxa" w:w="65"/>
              <w:right w:type="dxa" w:w="100"/>
            </w:tcMar>
          </w:tcPr>
          <w:p>
            <w:r>
              <w:rPr>
                <w:rFonts w:ascii="Arial" w:cs="Arial" w:eastAsia="Arial" w:hAnsi="Arial"/>
                <w:b w:val="false"/>
                <w:bCs w:val="false"/>
                <w:color w:val="1A1A2E"/>
                <w:sz w:val="19"/>
                <w:szCs w:val="19"/>
              </w:rPr>
              <w:t xml:space="preserve">Concept 4 sector page and Board Brief</w:t>
            </w:r>
          </w:p>
        </w:tc>
      </w:tr>
      <w:tr>
        <w:tc>
          <w:tcPr>
            <w:tcW w:type="dxa" w:w="720"/>
            <w:tcBorders>
              <w:top w:val="single" w:color="CCCCCC" w:sz="1"/>
              <w:left w:val="single" w:color="CCCCCC" w:sz="1"/>
              <w:bottom w:val="single" w:color="CCCCCC" w:sz="1"/>
              <w:right w:val="single" w:color="CCCCCC" w:sz="1"/>
            </w:tcBorders>
            <w:shd w:fill="E8EDF5" w:val="clear"/>
            <w:tcMar>
              <w:top w:type="dxa" w:w="65"/>
              <w:left w:type="dxa" w:w="100"/>
              <w:bottom w:type="dxa" w:w="65"/>
              <w:right w:type="dxa" w:w="100"/>
            </w:tcMar>
          </w:tcPr>
          <w:p>
            <w:r>
              <w:rPr>
                <w:rFonts w:ascii="Arial" w:cs="Arial" w:eastAsia="Arial" w:hAnsi="Arial"/>
                <w:b/>
                <w:bCs/>
                <w:color w:val="1B3A6B"/>
                <w:sz w:val="19"/>
                <w:szCs w:val="19"/>
              </w:rPr>
              <w:t xml:space="preserve">6</w:t>
            </w:r>
          </w:p>
        </w:tc>
        <w:tc>
          <w:tcPr>
            <w:tcW w:type="dxa" w:w="3960"/>
            <w:tcBorders>
              <w:top w:val="single" w:color="CCCCCC" w:sz="1"/>
              <w:left w:val="single" w:color="CCCCCC" w:sz="1"/>
              <w:bottom w:val="single" w:color="CCCCCC" w:sz="1"/>
              <w:right w:val="single" w:color="CCCCCC" w:sz="1"/>
            </w:tcBorders>
            <w:shd w:fill="EEF2F8" w:val="clear"/>
            <w:tcMar>
              <w:top w:type="dxa" w:w="65"/>
              <w:left w:type="dxa" w:w="100"/>
              <w:bottom w:type="dxa" w:w="65"/>
              <w:right w:type="dxa" w:w="100"/>
            </w:tcMar>
          </w:tcPr>
          <w:p>
            <w:r>
              <w:rPr>
                <w:rFonts w:ascii="Arial" w:cs="Arial" w:eastAsia="Arial" w:hAnsi="Arial"/>
                <w:b w:val="false"/>
                <w:bCs w:val="false"/>
                <w:color w:val="1A1A2E"/>
                <w:sz w:val="19"/>
                <w:szCs w:val="19"/>
              </w:rPr>
              <w:t xml:space="preserve">The 5Rs Effect: How JI Addresses Australia’s Most Urgent Workforce Challenge</w:t>
            </w:r>
          </w:p>
        </w:tc>
        <w:tc>
          <w:tcPr>
            <w:tcW w:type="dxa" w:w="2880"/>
            <w:tcBorders>
              <w:top w:val="single" w:color="CCCCCC" w:sz="1"/>
              <w:left w:val="single" w:color="CCCCCC" w:sz="1"/>
              <w:bottom w:val="single" w:color="CCCCCC" w:sz="1"/>
              <w:right w:val="single" w:color="CCCCCC" w:sz="1"/>
            </w:tcBorders>
            <w:shd w:fill="E6F4F1" w:val="clear"/>
            <w:tcMar>
              <w:top w:type="dxa" w:w="65"/>
              <w:left w:type="dxa" w:w="100"/>
              <w:bottom w:type="dxa" w:w="65"/>
              <w:right w:type="dxa" w:w="100"/>
            </w:tcMar>
          </w:tcPr>
          <w:p>
            <w:r>
              <w:rPr>
                <w:rFonts w:ascii="Arial" w:cs="Arial" w:eastAsia="Arial" w:hAnsi="Arial"/>
                <w:b w:val="false"/>
                <w:bCs w:val="false"/>
                <w:color w:val="1A1A2E"/>
                <w:sz w:val="19"/>
                <w:szCs w:val="19"/>
              </w:rPr>
              <w:t xml:space="preserve">CHROs, HR Directors - AHRI network</w:t>
            </w:r>
          </w:p>
        </w:tc>
        <w:tc>
          <w:tcPr>
            <w:tcW w:type="dxa" w:w="1800"/>
            <w:tcBorders>
              <w:top w:val="single" w:color="CCCCCC" w:sz="1"/>
              <w:left w:val="single" w:color="CCCCCC" w:sz="1"/>
              <w:bottom w:val="single" w:color="CCCCCC" w:sz="1"/>
              <w:right w:val="single" w:color="CCCCCC" w:sz="1"/>
            </w:tcBorders>
            <w:shd w:fill="E8F5EE" w:val="clear"/>
            <w:tcMar>
              <w:top w:type="dxa" w:w="65"/>
              <w:left w:type="dxa" w:w="100"/>
              <w:bottom w:type="dxa" w:w="65"/>
              <w:right w:type="dxa" w:w="100"/>
            </w:tcMar>
          </w:tcPr>
          <w:p>
            <w:r>
              <w:rPr>
                <w:rFonts w:ascii="Arial" w:cs="Arial" w:eastAsia="Arial" w:hAnsi="Arial"/>
                <w:b w:val="false"/>
                <w:bCs w:val="false"/>
                <w:color w:val="1A1A2E"/>
                <w:sz w:val="19"/>
                <w:szCs w:val="19"/>
              </w:rPr>
              <w:t xml:space="preserve">AHRI conference distribution and LinkedIn</w:t>
            </w:r>
          </w:p>
        </w:tc>
      </w:tr>
      <w:tr>
        <w:tc>
          <w:tcPr>
            <w:tcW w:type="dxa" w:w="720"/>
            <w:tcBorders>
              <w:top w:val="single" w:color="CCCCCC" w:sz="1"/>
              <w:left w:val="single" w:color="CCCCCC" w:sz="1"/>
              <w:bottom w:val="single" w:color="CCCCCC" w:sz="1"/>
              <w:right w:val="single" w:color="CCCCCC" w:sz="1"/>
            </w:tcBorders>
            <w:shd w:fill="E8EDF5" w:val="clear"/>
            <w:tcMar>
              <w:top w:type="dxa" w:w="65"/>
              <w:left w:type="dxa" w:w="100"/>
              <w:bottom w:type="dxa" w:w="65"/>
              <w:right w:type="dxa" w:w="100"/>
            </w:tcMar>
          </w:tcPr>
          <w:p>
            <w:r>
              <w:rPr>
                <w:rFonts w:ascii="Arial" w:cs="Arial" w:eastAsia="Arial" w:hAnsi="Arial"/>
                <w:b/>
                <w:bCs/>
                <w:color w:val="1B3A6B"/>
                <w:sz w:val="19"/>
                <w:szCs w:val="19"/>
              </w:rPr>
              <w:t xml:space="preserve">7</w:t>
            </w:r>
          </w:p>
        </w:tc>
        <w:tc>
          <w:tcPr>
            <w:tcW w:type="dxa" w:w="3960"/>
            <w:tcBorders>
              <w:top w:val="single" w:color="CCCCCC" w:sz="1"/>
              <w:left w:val="single" w:color="CCCCCC" w:sz="1"/>
              <w:bottom w:val="single" w:color="CCCCCC" w:sz="1"/>
              <w:right w:val="single" w:color="CCCCCC" w:sz="1"/>
            </w:tcBorders>
            <w:shd w:fill="EEF2F8" w:val="clear"/>
            <w:tcMar>
              <w:top w:type="dxa" w:w="65"/>
              <w:left w:type="dxa" w:w="100"/>
              <w:bottom w:type="dxa" w:w="65"/>
              <w:right w:type="dxa" w:w="100"/>
            </w:tcMar>
          </w:tcPr>
          <w:p>
            <w:r>
              <w:rPr>
                <w:rFonts w:ascii="Arial" w:cs="Arial" w:eastAsia="Arial" w:hAnsi="Arial"/>
                <w:b w:val="false"/>
                <w:bCs w:val="false"/>
                <w:color w:val="1A1A2E"/>
                <w:sz w:val="19"/>
                <w:szCs w:val="19"/>
              </w:rPr>
              <w:t xml:space="preserve">First Principles Leadership: Why Standard Assessment Fails at Senior Level</w:t>
            </w:r>
          </w:p>
        </w:tc>
        <w:tc>
          <w:tcPr>
            <w:tcW w:type="dxa" w:w="2880"/>
            <w:tcBorders>
              <w:top w:val="single" w:color="CCCCCC" w:sz="1"/>
              <w:left w:val="single" w:color="CCCCCC" w:sz="1"/>
              <w:bottom w:val="single" w:color="CCCCCC" w:sz="1"/>
              <w:right w:val="single" w:color="CCCCCC" w:sz="1"/>
            </w:tcBorders>
            <w:shd w:fill="E6F4F1" w:val="clear"/>
            <w:tcMar>
              <w:top w:type="dxa" w:w="65"/>
              <w:left w:type="dxa" w:w="100"/>
              <w:bottom w:type="dxa" w:w="65"/>
              <w:right w:type="dxa" w:w="100"/>
            </w:tcMar>
          </w:tcPr>
          <w:p>
            <w:r>
              <w:rPr>
                <w:rFonts w:ascii="Arial" w:cs="Arial" w:eastAsia="Arial" w:hAnsi="Arial"/>
                <w:b w:val="false"/>
                <w:bCs w:val="false"/>
                <w:color w:val="1A1A2E"/>
                <w:sz w:val="19"/>
                <w:szCs w:val="19"/>
              </w:rPr>
              <w:t xml:space="preserve">Executive coaches, CHROs, Talent leaders</w:t>
            </w:r>
          </w:p>
        </w:tc>
        <w:tc>
          <w:tcPr>
            <w:tcW w:type="dxa" w:w="1800"/>
            <w:tcBorders>
              <w:top w:val="single" w:color="CCCCCC" w:sz="1"/>
              <w:left w:val="single" w:color="CCCCCC" w:sz="1"/>
              <w:bottom w:val="single" w:color="CCCCCC" w:sz="1"/>
              <w:right w:val="single" w:color="CCCCCC" w:sz="1"/>
            </w:tcBorders>
            <w:shd w:fill="E8F5EE" w:val="clear"/>
            <w:tcMar>
              <w:top w:type="dxa" w:w="65"/>
              <w:left w:type="dxa" w:w="100"/>
              <w:bottom w:type="dxa" w:w="65"/>
              <w:right w:type="dxa" w:w="100"/>
            </w:tcMar>
          </w:tcPr>
          <w:p>
            <w:r>
              <w:rPr>
                <w:rFonts w:ascii="Arial" w:cs="Arial" w:eastAsia="Arial" w:hAnsi="Arial"/>
                <w:b w:val="false"/>
                <w:bCs w:val="false"/>
                <w:color w:val="1A1A2E"/>
                <w:sz w:val="19"/>
                <w:szCs w:val="19"/>
              </w:rPr>
              <w:t xml:space="preserve">Proposal attachment for senior leadership engagements</w:t>
            </w:r>
          </w:p>
        </w:tc>
      </w:tr>
      <w:tr>
        <w:tc>
          <w:tcPr>
            <w:tcW w:type="dxa" w:w="720"/>
            <w:tcBorders>
              <w:top w:val="single" w:color="CCCCCC" w:sz="1"/>
              <w:left w:val="single" w:color="CCCCCC" w:sz="1"/>
              <w:bottom w:val="single" w:color="CCCCCC" w:sz="1"/>
              <w:right w:val="single" w:color="CCCCCC" w:sz="1"/>
            </w:tcBorders>
            <w:shd w:fill="E8EDF5" w:val="clear"/>
            <w:tcMar>
              <w:top w:type="dxa" w:w="65"/>
              <w:left w:type="dxa" w:w="100"/>
              <w:bottom w:type="dxa" w:w="65"/>
              <w:right w:type="dxa" w:w="100"/>
            </w:tcMar>
          </w:tcPr>
          <w:p>
            <w:r>
              <w:rPr>
                <w:rFonts w:ascii="Arial" w:cs="Arial" w:eastAsia="Arial" w:hAnsi="Arial"/>
                <w:b/>
                <w:bCs/>
                <w:color w:val="1B3A6B"/>
                <w:sz w:val="19"/>
                <w:szCs w:val="19"/>
              </w:rPr>
              <w:t xml:space="preserve">8</w:t>
            </w:r>
          </w:p>
        </w:tc>
        <w:tc>
          <w:tcPr>
            <w:tcW w:type="dxa" w:w="3960"/>
            <w:tcBorders>
              <w:top w:val="single" w:color="CCCCCC" w:sz="1"/>
              <w:left w:val="single" w:color="CCCCCC" w:sz="1"/>
              <w:bottom w:val="single" w:color="CCCCCC" w:sz="1"/>
              <w:right w:val="single" w:color="CCCCCC" w:sz="1"/>
            </w:tcBorders>
            <w:shd w:fill="EEF2F8" w:val="clear"/>
            <w:tcMar>
              <w:top w:type="dxa" w:w="65"/>
              <w:left w:type="dxa" w:w="100"/>
              <w:bottom w:type="dxa" w:w="65"/>
              <w:right w:type="dxa" w:w="100"/>
            </w:tcMar>
          </w:tcPr>
          <w:p>
            <w:r>
              <w:rPr>
                <w:rFonts w:ascii="Arial" w:cs="Arial" w:eastAsia="Arial" w:hAnsi="Arial"/>
                <w:b w:val="false"/>
                <w:bCs w:val="false"/>
                <w:color w:val="1A1A2E"/>
                <w:sz w:val="19"/>
                <w:szCs w:val="19"/>
              </w:rPr>
              <w:t xml:space="preserve">The 13 Judgement Types: A New Framework for Team Design and Conflict Resolution</w:t>
            </w:r>
          </w:p>
        </w:tc>
        <w:tc>
          <w:tcPr>
            <w:tcW w:type="dxa" w:w="2880"/>
            <w:tcBorders>
              <w:top w:val="single" w:color="CCCCCC" w:sz="1"/>
              <w:left w:val="single" w:color="CCCCCC" w:sz="1"/>
              <w:bottom w:val="single" w:color="CCCCCC" w:sz="1"/>
              <w:right w:val="single" w:color="CCCCCC" w:sz="1"/>
            </w:tcBorders>
            <w:shd w:fill="E6F4F1" w:val="clear"/>
            <w:tcMar>
              <w:top w:type="dxa" w:w="65"/>
              <w:left w:type="dxa" w:w="100"/>
              <w:bottom w:type="dxa" w:w="65"/>
              <w:right w:type="dxa" w:w="100"/>
            </w:tcMar>
          </w:tcPr>
          <w:p>
            <w:r>
              <w:rPr>
                <w:rFonts w:ascii="Arial" w:cs="Arial" w:eastAsia="Arial" w:hAnsi="Arial"/>
                <w:b w:val="false"/>
                <w:bCs w:val="false"/>
                <w:color w:val="1A1A2E"/>
                <w:sz w:val="19"/>
                <w:szCs w:val="19"/>
              </w:rPr>
              <w:t xml:space="preserve">HR Directors, OD, Team Leaders</w:t>
            </w:r>
          </w:p>
        </w:tc>
        <w:tc>
          <w:tcPr>
            <w:tcW w:type="dxa" w:w="1800"/>
            <w:tcBorders>
              <w:top w:val="single" w:color="CCCCCC" w:sz="1"/>
              <w:left w:val="single" w:color="CCCCCC" w:sz="1"/>
              <w:bottom w:val="single" w:color="CCCCCC" w:sz="1"/>
              <w:right w:val="single" w:color="CCCCCC" w:sz="1"/>
            </w:tcBorders>
            <w:shd w:fill="E8F5EE" w:val="clear"/>
            <w:tcMar>
              <w:top w:type="dxa" w:w="65"/>
              <w:left w:type="dxa" w:w="100"/>
              <w:bottom w:type="dxa" w:w="65"/>
              <w:right w:type="dxa" w:w="100"/>
            </w:tcMar>
          </w:tcPr>
          <w:p>
            <w:r>
              <w:rPr>
                <w:rFonts w:ascii="Arial" w:cs="Arial" w:eastAsia="Arial" w:hAnsi="Arial"/>
                <w:b w:val="false"/>
                <w:bCs w:val="false"/>
                <w:color w:val="1A1A2E"/>
                <w:sz w:val="19"/>
                <w:szCs w:val="19"/>
              </w:rPr>
              <w:t xml:space="preserve">Compatibility Report sales support document</w:t>
            </w:r>
          </w:p>
        </w:tc>
      </w:tr>
      <w:tr>
        <w:tc>
          <w:tcPr>
            <w:tcW w:type="dxa" w:w="720"/>
            <w:tcBorders>
              <w:top w:val="single" w:color="CCCCCC" w:sz="1"/>
              <w:left w:val="single" w:color="CCCCCC" w:sz="1"/>
              <w:bottom w:val="single" w:color="CCCCCC" w:sz="1"/>
              <w:right w:val="single" w:color="CCCCCC" w:sz="1"/>
            </w:tcBorders>
            <w:shd w:fill="E8EDF5" w:val="clear"/>
            <w:tcMar>
              <w:top w:type="dxa" w:w="65"/>
              <w:left w:type="dxa" w:w="100"/>
              <w:bottom w:type="dxa" w:w="65"/>
              <w:right w:type="dxa" w:w="100"/>
            </w:tcMar>
          </w:tcPr>
          <w:p>
            <w:r>
              <w:rPr>
                <w:rFonts w:ascii="Arial" w:cs="Arial" w:eastAsia="Arial" w:hAnsi="Arial"/>
                <w:b/>
                <w:bCs/>
                <w:color w:val="1B3A6B"/>
                <w:sz w:val="19"/>
                <w:szCs w:val="19"/>
              </w:rPr>
              <w:t xml:space="preserve">9</w:t>
            </w:r>
          </w:p>
        </w:tc>
        <w:tc>
          <w:tcPr>
            <w:tcW w:type="dxa" w:w="3960"/>
            <w:tcBorders>
              <w:top w:val="single" w:color="CCCCCC" w:sz="1"/>
              <w:left w:val="single" w:color="CCCCCC" w:sz="1"/>
              <w:bottom w:val="single" w:color="CCCCCC" w:sz="1"/>
              <w:right w:val="single" w:color="CCCCCC" w:sz="1"/>
            </w:tcBorders>
            <w:shd w:fill="EEF2F8" w:val="clear"/>
            <w:tcMar>
              <w:top w:type="dxa" w:w="65"/>
              <w:left w:type="dxa" w:w="100"/>
              <w:bottom w:type="dxa" w:w="65"/>
              <w:right w:type="dxa" w:w="100"/>
            </w:tcMar>
          </w:tcPr>
          <w:p>
            <w:r>
              <w:rPr>
                <w:rFonts w:ascii="Arial" w:cs="Arial" w:eastAsia="Arial" w:hAnsi="Arial"/>
                <w:b w:val="false"/>
                <w:bCs w:val="false"/>
                <w:color w:val="1A1A2E"/>
                <w:sz w:val="19"/>
                <w:szCs w:val="19"/>
              </w:rPr>
              <w:t xml:space="preserve">Validation Study: The Scientific Evidence Behind the Judgment Index</w:t>
            </w:r>
          </w:p>
        </w:tc>
        <w:tc>
          <w:tcPr>
            <w:tcW w:type="dxa" w:w="2880"/>
            <w:tcBorders>
              <w:top w:val="single" w:color="CCCCCC" w:sz="1"/>
              <w:left w:val="single" w:color="CCCCCC" w:sz="1"/>
              <w:bottom w:val="single" w:color="CCCCCC" w:sz="1"/>
              <w:right w:val="single" w:color="CCCCCC" w:sz="1"/>
            </w:tcBorders>
            <w:shd w:fill="E6F4F1" w:val="clear"/>
            <w:tcMar>
              <w:top w:type="dxa" w:w="65"/>
              <w:left w:type="dxa" w:w="100"/>
              <w:bottom w:type="dxa" w:w="65"/>
              <w:right w:type="dxa" w:w="100"/>
            </w:tcMar>
          </w:tcPr>
          <w:p>
            <w:r>
              <w:rPr>
                <w:rFonts w:ascii="Arial" w:cs="Arial" w:eastAsia="Arial" w:hAnsi="Arial"/>
                <w:b w:val="false"/>
                <w:bCs w:val="false"/>
                <w:color w:val="1A1A2E"/>
                <w:sz w:val="19"/>
                <w:szCs w:val="19"/>
              </w:rPr>
              <w:t xml:space="preserve">Evidence-seeking CHROs, Legal, Risk, WHS</w:t>
            </w:r>
          </w:p>
        </w:tc>
        <w:tc>
          <w:tcPr>
            <w:tcW w:type="dxa" w:w="1800"/>
            <w:tcBorders>
              <w:top w:val="single" w:color="CCCCCC" w:sz="1"/>
              <w:left w:val="single" w:color="CCCCCC" w:sz="1"/>
              <w:bottom w:val="single" w:color="CCCCCC" w:sz="1"/>
              <w:right w:val="single" w:color="CCCCCC" w:sz="1"/>
            </w:tcBorders>
            <w:shd w:fill="E8F5EE" w:val="clear"/>
            <w:tcMar>
              <w:top w:type="dxa" w:w="65"/>
              <w:left w:type="dxa" w:w="100"/>
              <w:bottom w:type="dxa" w:w="65"/>
              <w:right w:type="dxa" w:w="100"/>
            </w:tcMar>
          </w:tcPr>
          <w:p>
            <w:r>
              <w:rPr>
                <w:rFonts w:ascii="Arial" w:cs="Arial" w:eastAsia="Arial" w:hAnsi="Arial"/>
                <w:b w:val="false"/>
                <w:bCs w:val="false"/>
                <w:color w:val="1A1A2E"/>
                <w:sz w:val="19"/>
                <w:szCs w:val="19"/>
              </w:rPr>
              <w:t xml:space="preserve">Validity page lead magnet replacing current page</w:t>
            </w:r>
          </w:p>
        </w:tc>
      </w:tr>
      <w:tr>
        <w:tc>
          <w:tcPr>
            <w:tcW w:type="dxa" w:w="720"/>
            <w:tcBorders>
              <w:top w:val="single" w:color="CCCCCC" w:sz="1"/>
              <w:left w:val="single" w:color="CCCCCC" w:sz="1"/>
              <w:bottom w:val="single" w:color="CCCCCC" w:sz="1"/>
              <w:right w:val="single" w:color="CCCCCC" w:sz="1"/>
            </w:tcBorders>
            <w:shd w:fill="E8EDF5" w:val="clear"/>
            <w:tcMar>
              <w:top w:type="dxa" w:w="65"/>
              <w:left w:type="dxa" w:w="100"/>
              <w:bottom w:type="dxa" w:w="65"/>
              <w:right w:type="dxa" w:w="100"/>
            </w:tcMar>
          </w:tcPr>
          <w:p>
            <w:r>
              <w:rPr>
                <w:rFonts w:ascii="Arial" w:cs="Arial" w:eastAsia="Arial" w:hAnsi="Arial"/>
                <w:b/>
                <w:bCs/>
                <w:color w:val="1B3A6B"/>
                <w:sz w:val="19"/>
                <w:szCs w:val="19"/>
              </w:rPr>
              <w:t xml:space="preserve">10</w:t>
            </w:r>
          </w:p>
        </w:tc>
        <w:tc>
          <w:tcPr>
            <w:tcW w:type="dxa" w:w="3960"/>
            <w:tcBorders>
              <w:top w:val="single" w:color="CCCCCC" w:sz="1"/>
              <w:left w:val="single" w:color="CCCCCC" w:sz="1"/>
              <w:bottom w:val="single" w:color="CCCCCC" w:sz="1"/>
              <w:right w:val="single" w:color="CCCCCC" w:sz="1"/>
            </w:tcBorders>
            <w:shd w:fill="EEF2F8" w:val="clear"/>
            <w:tcMar>
              <w:top w:type="dxa" w:w="65"/>
              <w:left w:type="dxa" w:w="100"/>
              <w:bottom w:type="dxa" w:w="65"/>
              <w:right w:type="dxa" w:w="100"/>
            </w:tcMar>
          </w:tcPr>
          <w:p>
            <w:r>
              <w:rPr>
                <w:rFonts w:ascii="Arial" w:cs="Arial" w:eastAsia="Arial" w:hAnsi="Arial"/>
                <w:b w:val="false"/>
                <w:bCs w:val="false"/>
                <w:color w:val="1A1A2E"/>
                <w:sz w:val="19"/>
                <w:szCs w:val="19"/>
              </w:rPr>
              <w:t xml:space="preserve">Human Judgement Intelligence in the Age of AI: The Last Sustainable Competitive Advantage</w:t>
            </w:r>
          </w:p>
        </w:tc>
        <w:tc>
          <w:tcPr>
            <w:tcW w:type="dxa" w:w="2880"/>
            <w:tcBorders>
              <w:top w:val="single" w:color="CCCCCC" w:sz="1"/>
              <w:left w:val="single" w:color="CCCCCC" w:sz="1"/>
              <w:bottom w:val="single" w:color="CCCCCC" w:sz="1"/>
              <w:right w:val="single" w:color="CCCCCC" w:sz="1"/>
            </w:tcBorders>
            <w:shd w:fill="E6F4F1" w:val="clear"/>
            <w:tcMar>
              <w:top w:type="dxa" w:w="65"/>
              <w:left w:type="dxa" w:w="100"/>
              <w:bottom w:type="dxa" w:w="65"/>
              <w:right w:type="dxa" w:w="100"/>
            </w:tcMar>
          </w:tcPr>
          <w:p>
            <w:r>
              <w:rPr>
                <w:rFonts w:ascii="Arial" w:cs="Arial" w:eastAsia="Arial" w:hAnsi="Arial"/>
                <w:b w:val="false"/>
                <w:bCs w:val="false"/>
                <w:color w:val="1A1A2E"/>
                <w:sz w:val="19"/>
                <w:szCs w:val="19"/>
              </w:rPr>
              <w:t xml:space="preserve">CEOs, Boards, CIOs, Strategy leaders</w:t>
            </w:r>
          </w:p>
        </w:tc>
        <w:tc>
          <w:tcPr>
            <w:tcW w:type="dxa" w:w="1800"/>
            <w:tcBorders>
              <w:top w:val="single" w:color="CCCCCC" w:sz="1"/>
              <w:left w:val="single" w:color="CCCCCC" w:sz="1"/>
              <w:bottom w:val="single" w:color="CCCCCC" w:sz="1"/>
              <w:right w:val="single" w:color="CCCCCC" w:sz="1"/>
            </w:tcBorders>
            <w:shd w:fill="E8F5EE" w:val="clear"/>
            <w:tcMar>
              <w:top w:type="dxa" w:w="65"/>
              <w:left w:type="dxa" w:w="100"/>
              <w:bottom w:type="dxa" w:w="65"/>
              <w:right w:type="dxa" w:w="100"/>
            </w:tcMar>
          </w:tcPr>
          <w:p>
            <w:r>
              <w:rPr>
                <w:rFonts w:ascii="Arial" w:cs="Arial" w:eastAsia="Arial" w:hAnsi="Arial"/>
                <w:b w:val="false"/>
                <w:bCs w:val="false"/>
                <w:color w:val="1A1A2E"/>
                <w:sz w:val="19"/>
                <w:szCs w:val="19"/>
              </w:rPr>
              <w:t xml:space="preserve">AI &amp; Judgement page lead magnet</w:t>
            </w:r>
          </w:p>
        </w:tc>
      </w:tr>
    </w:tbl>
    <w:p>
      <w:r>
        <w:br w:type="page"/>
      </w:r>
    </w:p>
    <w:p>
      <w:pPr>
        <w:pStyle w:val="Heading1"/>
        <w:pageBreakBefore/>
        <w:spacing w:after="110" w:before="0"/>
      </w:pPr>
      <w:r>
        <w:rPr>
          <w:rFonts w:ascii="Arial" w:cs="Arial" w:eastAsia="Arial" w:hAnsi="Arial"/>
          <w:b/>
          <w:bCs/>
          <w:color w:val="1B3A6B"/>
          <w:sz w:val="34"/>
          <w:szCs w:val="34"/>
        </w:rPr>
        <w:t xml:space="preserve">White Paper 1: The Science of Judgement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thick" w:color="0D7A6B" w:sz="12"/>
              <w:left w:val="thick" w:color="0D7A6B" w:sz="12"/>
              <w:bottom w:val="thick" w:color="0D7A6B" w:sz="12"/>
              <w:right w:val="thick" w:color="0D7A6B" w:sz="12"/>
            </w:tcBorders>
            <w:shd w:fill="E6F4F1" w:val="clear"/>
            <w:tcMar>
              <w:top w:type="dxa" w:w="200"/>
              <w:left w:type="dxa" w:w="240"/>
              <w:bottom w:type="dxa" w:w="200"/>
              <w:right w:type="dxa" w:w="240"/>
            </w:tcMar>
          </w:tcPr>
          <w:p>
            <w:pPr>
              <w:spacing w:after="14" w:before="0"/>
            </w:pPr>
            <w:r>
              <w:rPr>
                <w:rFonts w:ascii="Arial" w:cs="Arial" w:eastAsia="Arial" w:hAnsi="Arial"/>
                <w:b/>
                <w:bCs/>
                <w:color w:val="0D7A6B"/>
                <w:sz w:val="18"/>
                <w:szCs w:val="18"/>
              </w:rPr>
              <w:t xml:space="preserve">WHITE PAPER 1 OF 10</w:t>
            </w:r>
          </w:p>
          <w:p>
            <w:pPr>
              <w:spacing w:after="24" w:before="0"/>
            </w:pPr>
            <w:r>
              <w:rPr>
                <w:rFonts w:ascii="Arial" w:cs="Arial" w:eastAsia="Arial" w:hAnsi="Arial"/>
                <w:b/>
                <w:bCs/>
                <w:color w:val="1B3A6B"/>
                <w:sz w:val="32"/>
                <w:szCs w:val="32"/>
              </w:rPr>
              <w:t xml:space="preserve">The Science of Judgement</w:t>
            </w:r>
          </w:p>
          <w:p>
            <w:pPr>
              <w:spacing w:after="40" w:before="0"/>
            </w:pPr>
            <w:r>
              <w:rPr>
                <w:rFonts w:ascii="Arial" w:cs="Arial" w:eastAsia="Arial" w:hAnsi="Arial"/>
                <w:i/>
                <w:iCs/>
                <w:color w:val="4A5568"/>
                <w:sz w:val="22"/>
                <w:szCs w:val="22"/>
              </w:rPr>
              <w:t xml:space="preserve">Why Axiology Outperforms Personality Profiling for Predicting Human Performance Under Pressure</w:t>
            </w:r>
          </w:p>
          <w:p>
            <w:pPr>
              <w:pBdr>
                <w:bottom w:val="single" w:color="0D7A6B" w:sz="6" w:space="1"/>
              </w:pBdr>
              <w:spacing w:after="160" w:before="160"/>
            </w:pPr>
          </w:p>
          <w:p>
            <w:pPr>
              <w:spacing w:after="14" w:before="40"/>
            </w:pPr>
            <w:r>
              <w:rPr>
                <w:rFonts w:ascii="Arial" w:cs="Arial" w:eastAsia="Arial" w:hAnsi="Arial"/>
                <w:b/>
                <w:bCs/>
                <w:color w:val="0D7A6B"/>
                <w:sz w:val="20"/>
                <w:szCs w:val="20"/>
              </w:rPr>
              <w:t xml:space="preserve">Primary audience: </w:t>
            </w:r>
            <w:r>
              <w:rPr>
                <w:rFonts w:ascii="Arial" w:cs="Arial" w:eastAsia="Arial" w:hAnsi="Arial"/>
                <w:color w:val="1A1A2E"/>
                <w:sz w:val="20"/>
                <w:szCs w:val="20"/>
              </w:rPr>
              <w:t xml:space="preserve">CEOs, CHROs, Executive Coaches, HR Directors, Board Directors</w:t>
            </w:r>
          </w:p>
          <w:p>
            <w:pPr>
              <w:spacing w:after="14" w:before="0"/>
            </w:pPr>
            <w:r>
              <w:rPr>
                <w:rFonts w:ascii="Arial" w:cs="Arial" w:eastAsia="Arial" w:hAnsi="Arial"/>
                <w:b/>
                <w:bCs/>
                <w:color w:val="0D7A6B"/>
                <w:sz w:val="20"/>
                <w:szCs w:val="20"/>
              </w:rPr>
              <w:t xml:space="preserve">Recommended gate: </w:t>
            </w:r>
            <w:r>
              <w:rPr>
                <w:rFonts w:ascii="Arial" w:cs="Arial" w:eastAsia="Arial" w:hAnsi="Arial"/>
                <w:color w:val="1A1A2E"/>
                <w:sz w:val="20"/>
                <w:szCs w:val="20"/>
              </w:rPr>
              <w:t xml:space="preserve">Work email address  ·  First name  ·  Organisation</w:t>
            </w:r>
          </w:p>
          <w:p>
            <w:pPr>
              <w:spacing w:after="14" w:before="0"/>
            </w:pPr>
            <w:r>
              <w:rPr>
                <w:rFonts w:ascii="Arial" w:cs="Arial" w:eastAsia="Arial" w:hAnsi="Arial"/>
                <w:b/>
                <w:bCs/>
                <w:color w:val="0D7A6B"/>
                <w:sz w:val="20"/>
                <w:szCs w:val="20"/>
              </w:rPr>
              <w:t xml:space="preserve">Approximate length: </w:t>
            </w:r>
            <w:r>
              <w:rPr>
                <w:rFonts w:ascii="Arial" w:cs="Arial" w:eastAsia="Arial" w:hAnsi="Arial"/>
                <w:color w:val="1A1A2E"/>
                <w:sz w:val="20"/>
                <w:szCs w:val="20"/>
              </w:rPr>
              <w:t xml:space="preserve">1,200 words · 6–8 minute read</w:t>
            </w:r>
          </w:p>
          <w:p>
            <w:pPr>
              <w:spacing w:after="0" w:before="0"/>
            </w:pPr>
            <w:r>
              <w:rPr>
                <w:rFonts w:ascii="Arial" w:cs="Arial" w:eastAsia="Arial" w:hAnsi="Arial"/>
                <w:b/>
                <w:bCs/>
                <w:color w:val="0D7A6B"/>
                <w:sz w:val="20"/>
                <w:szCs w:val="20"/>
              </w:rPr>
              <w:t xml:space="preserve">Publisher: </w:t>
            </w:r>
            <w:r>
              <w:rPr>
                <w:rFonts w:ascii="Arial" w:cs="Arial" w:eastAsia="Arial" w:hAnsi="Arial"/>
                <w:color w:val="1A1A2E"/>
                <w:sz w:val="20"/>
                <w:szCs w:val="20"/>
              </w:rPr>
              <w:t xml:space="preserve">Judgment Index Australia (JIAU)  ·  jiau.com.au  ·  © 2026</w:t>
            </w:r>
          </w:p>
        </w:tc>
      </w:tr>
    </w:tbl>
    <w:p>
      <w:pPr>
        <w:spacing w:after="0" w:before="70"/>
      </w:pPr>
    </w:p>
    <w:p>
      <w:pPr>
        <w:pStyle w:val="Heading2"/>
        <w:keepNext/>
        <w:spacing w:after="90" w:before="240"/>
      </w:pPr>
      <w:r>
        <w:rPr>
          <w:rFonts w:ascii="Arial" w:cs="Arial" w:eastAsia="Arial" w:hAnsi="Arial"/>
          <w:b/>
          <w:bCs/>
          <w:color w:val="1B3A6B"/>
          <w:sz w:val="26"/>
          <w:szCs w:val="26"/>
        </w:rPr>
        <w:t xml:space="preserve">The Problem: Personality Profiling Has Reached Its Ceiling</w:t>
      </w:r>
    </w:p>
    <w:p>
      <w:pPr>
        <w:spacing w:after="65" w:before="65"/>
      </w:pPr>
      <w:r>
        <w:rPr>
          <w:rFonts w:ascii="Arial" w:cs="Arial" w:eastAsia="Arial" w:hAnsi="Arial"/>
          <w:b w:val="false"/>
          <w:bCs w:val="false"/>
          <w:i w:val="false"/>
          <w:iCs w:val="false"/>
          <w:color w:val="1A1A2E"/>
          <w:sz w:val="22"/>
          <w:szCs w:val="22"/>
        </w:rPr>
        <w:t xml:space="preserve">For thirty years, personality profiling has been the dominant paradigm in Australian workplace assessment. DISC, Myers-Briggs, Hogan, the Big Five - these tools have shaped how organisations hire, develop and deploy their people. And for many applications, they remain useful.</w:t>
      </w:r>
    </w:p>
    <w:p>
      <w:pPr>
        <w:spacing w:after="0" w:before="55"/>
      </w:pPr>
    </w:p>
    <w:p>
      <w:pPr>
        <w:spacing w:after="65" w:before="65"/>
      </w:pPr>
      <w:r>
        <w:rPr>
          <w:rFonts w:ascii="Arial" w:cs="Arial" w:eastAsia="Arial" w:hAnsi="Arial"/>
          <w:b w:val="false"/>
          <w:bCs w:val="false"/>
          <w:i w:val="false"/>
          <w:iCs w:val="false"/>
          <w:color w:val="1A1A2E"/>
          <w:sz w:val="22"/>
          <w:szCs w:val="22"/>
        </w:rPr>
        <w:t xml:space="preserve">But there is a ceiling. And Australian organisations are hitting it.</w:t>
      </w:r>
    </w:p>
    <w:p>
      <w:pPr>
        <w:spacing w:after="0" w:before="55"/>
      </w:pPr>
    </w:p>
    <w:p>
      <w:pPr>
        <w:spacing w:after="65" w:before="65"/>
      </w:pPr>
      <w:r>
        <w:rPr>
          <w:rFonts w:ascii="Arial" w:cs="Arial" w:eastAsia="Arial" w:hAnsi="Arial"/>
          <w:b w:val="false"/>
          <w:bCs w:val="false"/>
          <w:i w:val="false"/>
          <w:iCs w:val="false"/>
          <w:color w:val="1A1A2E"/>
          <w:sz w:val="22"/>
          <w:szCs w:val="22"/>
        </w:rPr>
        <w:t xml:space="preserve">The ceiling is this: personality profiling describes what someone is like. It does not predict how they will perform under conditions that are different from those in which they were assessed. It cannot tell you whether the composed, high-performing leader will maintain that composure when the organisation is restructuring, the board is demanding answers and the team is fragmenting. It describes the person in normal conditions. It says very little about the person under pressure.</w:t>
      </w:r>
    </w:p>
    <w:p>
      <w:pPr>
        <w:spacing w:after="0" w:before="70"/>
      </w:pPr>
    </w:p>
    <w:p>
      <w:pPr>
        <w:pStyle w:val="Heading2"/>
        <w:keepNext/>
        <w:spacing w:after="90" w:before="240"/>
      </w:pPr>
      <w:r>
        <w:rPr>
          <w:rFonts w:ascii="Arial" w:cs="Arial" w:eastAsia="Arial" w:hAnsi="Arial"/>
          <w:b/>
          <w:bCs/>
          <w:color w:val="0D7A6B"/>
          <w:sz w:val="26"/>
          <w:szCs w:val="26"/>
        </w:rPr>
        <w:t xml:space="preserve">The Science: What Axiology Actually Measures</w:t>
      </w:r>
    </w:p>
    <w:p>
      <w:pPr>
        <w:spacing w:after="65" w:before="65"/>
      </w:pPr>
      <w:r>
        <w:rPr>
          <w:rFonts w:ascii="Arial" w:cs="Arial" w:eastAsia="Arial" w:hAnsi="Arial"/>
          <w:b w:val="false"/>
          <w:bCs w:val="false"/>
          <w:i w:val="false"/>
          <w:iCs w:val="false"/>
          <w:color w:val="1A1A2E"/>
          <w:sz w:val="22"/>
          <w:szCs w:val="22"/>
        </w:rPr>
        <w:t xml:space="preserve">Axiology is the formal, mathematical science of human value systems. It was created by Dr. Robert S. Hartman (1910–1973), a philosopher and logician who spent his career developing a mathematical framework for measuring the quality of human judgement - not what a person values in the sense of preferences, but how clearly and accurately they evaluate the world around them.</w:t>
      </w:r>
    </w:p>
    <w:p>
      <w:pPr>
        <w:spacing w:after="0" w:before="55"/>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
        <w:gridCol w:w="9200"/>
      </w:tblGrid>
      <w:tr>
        <w:tc>
          <w:tcPr>
            <w:tcW w:type="dxa" w:w="160"/>
            <w:tcBorders>
              <w:top w:val="none" w:color="FFFFFF" w:sz="0"/>
              <w:left w:val="none" w:color="FFFFFF" w:sz="0"/>
              <w:bottom w:val="none" w:color="FFFFFF" w:sz="0"/>
              <w:right w:val="none" w:color="FFFFFF" w:sz="0"/>
            </w:tcBorders>
            <w:shd w:fill="1B3A6B" w:val="clear"/>
          </w:tcPr>
          <w:p/>
        </w:tc>
        <w:tc>
          <w:tcPr>
            <w:tcW w:type="dxa" w:w="9200"/>
            <w:tcBorders>
              <w:top w:val="none" w:color="FFFFFF" w:sz="0"/>
              <w:left w:val="none" w:color="FFFFFF" w:sz="0"/>
              <w:bottom w:val="none" w:color="FFFFFF" w:sz="0"/>
              <w:right w:val="none" w:color="FFFFFF" w:sz="0"/>
            </w:tcBorders>
            <w:shd w:fill="EEF2F8" w:val="clear"/>
            <w:tcMar>
              <w:top w:type="dxa" w:w="140"/>
              <w:left w:type="dxa" w:w="200"/>
              <w:bottom w:type="dxa" w:w="140"/>
              <w:right w:type="dxa" w:w="160"/>
            </w:tcMar>
          </w:tcPr>
          <w:p>
            <w:pPr>
              <w:spacing w:after="70" w:before="0"/>
            </w:pPr>
            <w:r>
              <w:rPr>
                <w:rFonts w:ascii="Arial" w:cs="Arial" w:eastAsia="Arial" w:hAnsi="Arial"/>
                <w:i/>
                <w:iCs/>
                <w:color w:val="1A1A2E"/>
                <w:sz w:val="23"/>
                <w:szCs w:val="23"/>
              </w:rPr>
              <w:t xml:space="preserve">“The Hartman Value Profile focuses attention on the measurement of good judgement - the capacity to be a keen observer of situations, to discern what will constitute best responses in that situation, and to execute those best responses.”</w:t>
            </w:r>
          </w:p>
          <w:p>
            <w:r>
              <w:rPr>
                <w:rFonts w:ascii="Arial" w:cs="Arial" w:eastAsia="Arial" w:hAnsi="Arial"/>
                <w:b/>
                <w:bCs/>
                <w:color w:val="1B3A6B"/>
                <w:sz w:val="20"/>
                <w:szCs w:val="20"/>
              </w:rPr>
              <w:t xml:space="preserve">— National Library of Medicine, Hartman Value Profile Clinical Applications, 2016</w:t>
            </w:r>
          </w:p>
        </w:tc>
      </w:tr>
    </w:tbl>
    <w:p>
      <w:pPr>
        <w:spacing w:after="0" w:before="55"/>
      </w:pPr>
    </w:p>
    <w:p>
      <w:pPr>
        <w:spacing w:after="65" w:before="65"/>
      </w:pPr>
      <w:r>
        <w:rPr>
          <w:rFonts w:ascii="Arial" w:cs="Arial" w:eastAsia="Arial" w:hAnsi="Arial"/>
          <w:b w:val="false"/>
          <w:bCs w:val="false"/>
          <w:i w:val="false"/>
          <w:iCs w:val="false"/>
          <w:color w:val="1A1A2E"/>
          <w:sz w:val="22"/>
          <w:szCs w:val="22"/>
        </w:rPr>
        <w:t xml:space="preserve">The distinction is critical. Where personality profiling describes tendencies and preferences, axiology measures the quality of the evaluative process itself. Two people can have identical personality profiles and dramatically different judgement quality. The one with higher judgement quality will outperform the other specifically when conditions are difficult, ambiguous or high-stakes.</w:t>
      </w:r>
    </w:p>
    <w:p>
      <w:pPr>
        <w:spacing w:after="0" w:before="55"/>
      </w:pPr>
    </w:p>
    <w:p>
      <w:pPr>
        <w:spacing w:after="65" w:before="65"/>
      </w:pPr>
      <w:r>
        <w:rPr>
          <w:rFonts w:ascii="Arial" w:cs="Arial" w:eastAsia="Arial" w:hAnsi="Arial"/>
          <w:b w:val="false"/>
          <w:bCs w:val="false"/>
          <w:i w:val="false"/>
          <w:iCs w:val="false"/>
          <w:color w:val="1A1A2E"/>
          <w:sz w:val="22"/>
          <w:szCs w:val="22"/>
        </w:rPr>
        <w:t xml:space="preserve">This is why the Judgment Index - the commercial instrument built on Hartman’s axiological science - has been used in major healthcare, corporate and defence environments internationally since the 1970s. It is not predicting personality. It is measuring the cognitive and evaluative capacity that determines performance when personality is not enough.</w:t>
      </w:r>
    </w:p>
    <w:p>
      <w:pPr>
        <w:spacing w:after="0" w:before="70"/>
      </w:pPr>
    </w:p>
    <w:p>
      <w:pPr>
        <w:pStyle w:val="Heading2"/>
        <w:keepNext/>
        <w:spacing w:after="90" w:before="240"/>
      </w:pPr>
      <w:r>
        <w:rPr>
          <w:rFonts w:ascii="Arial" w:cs="Arial" w:eastAsia="Arial" w:hAnsi="Arial"/>
          <w:b/>
          <w:bCs/>
          <w:color w:val="1B3A6B"/>
          <w:sz w:val="26"/>
          <w:szCs w:val="26"/>
        </w:rPr>
        <w:t xml:space="preserve">The Three Domains: Work, People and Big Picture</w:t>
      </w:r>
    </w:p>
    <w:p>
      <w:pPr>
        <w:spacing w:after="65" w:before="65"/>
      </w:pPr>
      <w:r>
        <w:rPr>
          <w:rFonts w:ascii="Arial" w:cs="Arial" w:eastAsia="Arial" w:hAnsi="Arial"/>
          <w:b w:val="false"/>
          <w:bCs w:val="false"/>
          <w:i w:val="false"/>
          <w:iCs w:val="false"/>
          <w:color w:val="1A1A2E"/>
          <w:sz w:val="22"/>
          <w:szCs w:val="22"/>
        </w:rPr>
        <w:t xml:space="preserve">The JI measures judgement quality across three primary domains. Each domain reflects a dimension of how a person evaluates their world - and how that evaluation holds under pressure.</w:t>
      </w:r>
    </w:p>
    <w:p>
      <w:pPr>
        <w:spacing w:after="0" w:before="55"/>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CCCC" w:sz="1"/>
              <w:left w:val="single" w:color="CCCCCC" w:sz="1"/>
              <w:bottom w:val="single" w:color="CCCCCC" w:sz="1"/>
              <w:right w:val="single" w:color="CCCCCC" w:sz="1"/>
            </w:tcBorders>
            <w:shd w:fill="1B3A6B" w:val="clear"/>
            <w:tcMar>
              <w:top w:type="dxa" w:w="85"/>
              <w:left w:type="dxa" w:w="100"/>
              <w:bottom w:type="dxa" w:w="85"/>
              <w:right w:type="dxa" w:w="100"/>
            </w:tcMar>
          </w:tcPr>
          <w:p>
            <w:r>
              <w:rPr>
                <w:rFonts w:ascii="Arial" w:cs="Arial" w:eastAsia="Arial" w:hAnsi="Arial"/>
                <w:b/>
                <w:bCs/>
                <w:color w:val="FFFFFF"/>
                <w:sz w:val="19"/>
                <w:szCs w:val="19"/>
              </w:rPr>
              <w:t xml:space="preserve">Domain</w:t>
            </w:r>
          </w:p>
        </w:tc>
        <w:tc>
          <w:tcPr>
            <w:tcW w:type="dxa" w:w="3120"/>
            <w:tcBorders>
              <w:top w:val="single" w:color="CCCCCC" w:sz="1"/>
              <w:left w:val="single" w:color="CCCCCC" w:sz="1"/>
              <w:bottom w:val="single" w:color="CCCCCC" w:sz="1"/>
              <w:right w:val="single" w:color="CCCCCC" w:sz="1"/>
            </w:tcBorders>
            <w:shd w:fill="1B3A6B" w:val="clear"/>
            <w:tcMar>
              <w:top w:type="dxa" w:w="85"/>
              <w:left w:type="dxa" w:w="100"/>
              <w:bottom w:type="dxa" w:w="85"/>
              <w:right w:type="dxa" w:w="100"/>
            </w:tcMar>
          </w:tcPr>
          <w:p>
            <w:r>
              <w:rPr>
                <w:rFonts w:ascii="Arial" w:cs="Arial" w:eastAsia="Arial" w:hAnsi="Arial"/>
                <w:b/>
                <w:bCs/>
                <w:color w:val="FFFFFF"/>
                <w:sz w:val="19"/>
                <w:szCs w:val="19"/>
              </w:rPr>
              <w:t xml:space="preserve">What It Measures</w:t>
            </w:r>
          </w:p>
        </w:tc>
        <w:tc>
          <w:tcPr>
            <w:tcW w:type="dxa" w:w="3120"/>
            <w:tcBorders>
              <w:top w:val="single" w:color="CCCCCC" w:sz="1"/>
              <w:left w:val="single" w:color="CCCCCC" w:sz="1"/>
              <w:bottom w:val="single" w:color="CCCCCC" w:sz="1"/>
              <w:right w:val="single" w:color="CCCCCC" w:sz="1"/>
            </w:tcBorders>
            <w:shd w:fill="1B3A6B" w:val="clear"/>
            <w:tcMar>
              <w:top w:type="dxa" w:w="85"/>
              <w:left w:type="dxa" w:w="100"/>
              <w:bottom w:type="dxa" w:w="85"/>
              <w:right w:type="dxa" w:w="100"/>
            </w:tcMar>
          </w:tcPr>
          <w:p>
            <w:r>
              <w:rPr>
                <w:rFonts w:ascii="Arial" w:cs="Arial" w:eastAsia="Arial" w:hAnsi="Arial"/>
                <w:b/>
                <w:bCs/>
                <w:color w:val="FFFFFF"/>
                <w:sz w:val="19"/>
                <w:szCs w:val="19"/>
              </w:rPr>
              <w:t xml:space="preserve">Pressure Prediction</w:t>
            </w:r>
          </w:p>
        </w:tc>
      </w:tr>
      <w:tr>
        <w:tc>
          <w:tcPr>
            <w:tcW w:type="dxa" w:w="3120"/>
            <w:tcBorders>
              <w:top w:val="single" w:color="CCCCCC" w:sz="1"/>
              <w:left w:val="single" w:color="CCCCCC" w:sz="1"/>
              <w:bottom w:val="single" w:color="CCCCCC" w:sz="1"/>
              <w:right w:val="single" w:color="CCCCCC" w:sz="1"/>
            </w:tcBorders>
            <w:shd w:fill="E8EDF5" w:val="clear"/>
            <w:tcMar>
              <w:top w:type="dxa" w:w="65"/>
              <w:left w:type="dxa" w:w="100"/>
              <w:bottom w:type="dxa" w:w="65"/>
              <w:right w:type="dxa" w:w="100"/>
            </w:tcMar>
          </w:tcPr>
          <w:p>
            <w:r>
              <w:rPr>
                <w:rFonts w:ascii="Arial" w:cs="Arial" w:eastAsia="Arial" w:hAnsi="Arial"/>
                <w:b/>
                <w:bCs/>
                <w:color w:val="1B3A6B"/>
                <w:sz w:val="19"/>
                <w:szCs w:val="19"/>
              </w:rPr>
              <w:t xml:space="preserve">Work / Task (Tactical Insight)</w:t>
            </w:r>
          </w:p>
        </w:tc>
        <w:tc>
          <w:tcPr>
            <w:tcW w:type="dxa" w:w="3120"/>
            <w:tcBorders>
              <w:top w:val="single" w:color="CCCCCC" w:sz="1"/>
              <w:left w:val="single" w:color="CCCCCC" w:sz="1"/>
              <w:bottom w:val="single" w:color="CCCCCC" w:sz="1"/>
              <w:right w:val="single" w:color="CCCCCC" w:sz="1"/>
            </w:tcBorders>
            <w:shd w:fill="EEF2F8" w:val="clear"/>
            <w:tcMar>
              <w:top w:type="dxa" w:w="65"/>
              <w:left w:type="dxa" w:w="100"/>
              <w:bottom w:type="dxa" w:w="65"/>
              <w:right w:type="dxa" w:w="100"/>
            </w:tcMar>
          </w:tcPr>
          <w:p>
            <w:r>
              <w:rPr>
                <w:rFonts w:ascii="Arial" w:cs="Arial" w:eastAsia="Arial" w:hAnsi="Arial"/>
                <w:b w:val="false"/>
                <w:bCs w:val="false"/>
                <w:color w:val="1A1A2E"/>
                <w:sz w:val="19"/>
                <w:szCs w:val="19"/>
              </w:rPr>
              <w:t xml:space="preserve">How clearly a person evaluates practical tasks, processes, structure and the requirements of their role</w:t>
            </w:r>
          </w:p>
        </w:tc>
        <w:tc>
          <w:tcPr>
            <w:tcW w:type="dxa" w:w="3120"/>
            <w:tcBorders>
              <w:top w:val="single" w:color="CCCCCC" w:sz="1"/>
              <w:left w:val="single" w:color="CCCCCC" w:sz="1"/>
              <w:bottom w:val="single" w:color="CCCCCC" w:sz="1"/>
              <w:right w:val="single" w:color="CCCCCC" w:sz="1"/>
            </w:tcBorders>
            <w:shd w:fill="E6F4F1" w:val="clear"/>
            <w:tcMar>
              <w:top w:type="dxa" w:w="65"/>
              <w:left w:type="dxa" w:w="100"/>
              <w:bottom w:type="dxa" w:w="65"/>
              <w:right w:type="dxa" w:w="100"/>
            </w:tcMar>
          </w:tcPr>
          <w:p>
            <w:r>
              <w:rPr>
                <w:rFonts w:ascii="Arial" w:cs="Arial" w:eastAsia="Arial" w:hAnsi="Arial"/>
                <w:b w:val="false"/>
                <w:bCs w:val="false"/>
                <w:color w:val="1A1A2E"/>
                <w:sz w:val="19"/>
                <w:szCs w:val="19"/>
              </w:rPr>
              <w:t xml:space="preserve">Predicts reliability, follow-through, attention to detail and operational performance when workload peaks</w:t>
            </w:r>
          </w:p>
        </w:tc>
      </w:tr>
      <w:tr>
        <w:tc>
          <w:tcPr>
            <w:tcW w:type="dxa" w:w="3120"/>
            <w:tcBorders>
              <w:top w:val="single" w:color="CCCCCC" w:sz="1"/>
              <w:left w:val="single" w:color="CCCCCC" w:sz="1"/>
              <w:bottom w:val="single" w:color="CCCCCC" w:sz="1"/>
              <w:right w:val="single" w:color="CCCCCC" w:sz="1"/>
            </w:tcBorders>
            <w:shd w:fill="E8EDF5" w:val="clear"/>
            <w:tcMar>
              <w:top w:type="dxa" w:w="65"/>
              <w:left w:type="dxa" w:w="100"/>
              <w:bottom w:type="dxa" w:w="65"/>
              <w:right w:type="dxa" w:w="100"/>
            </w:tcMar>
          </w:tcPr>
          <w:p>
            <w:r>
              <w:rPr>
                <w:rFonts w:ascii="Arial" w:cs="Arial" w:eastAsia="Arial" w:hAnsi="Arial"/>
                <w:b/>
                <w:bCs/>
                <w:color w:val="1B3A6B"/>
                <w:sz w:val="19"/>
                <w:szCs w:val="19"/>
              </w:rPr>
              <w:t xml:space="preserve">People (Relational Insight)</w:t>
            </w:r>
          </w:p>
        </w:tc>
        <w:tc>
          <w:tcPr>
            <w:tcW w:type="dxa" w:w="3120"/>
            <w:tcBorders>
              <w:top w:val="single" w:color="CCCCCC" w:sz="1"/>
              <w:left w:val="single" w:color="CCCCCC" w:sz="1"/>
              <w:bottom w:val="single" w:color="CCCCCC" w:sz="1"/>
              <w:right w:val="single" w:color="CCCCCC" w:sz="1"/>
            </w:tcBorders>
            <w:shd w:fill="EEF2F8" w:val="clear"/>
            <w:tcMar>
              <w:top w:type="dxa" w:w="65"/>
              <w:left w:type="dxa" w:w="100"/>
              <w:bottom w:type="dxa" w:w="65"/>
              <w:right w:type="dxa" w:w="100"/>
            </w:tcMar>
          </w:tcPr>
          <w:p>
            <w:r>
              <w:rPr>
                <w:rFonts w:ascii="Arial" w:cs="Arial" w:eastAsia="Arial" w:hAnsi="Arial"/>
                <w:b w:val="false"/>
                <w:bCs w:val="false"/>
                <w:color w:val="1A1A2E"/>
                <w:sz w:val="19"/>
                <w:szCs w:val="19"/>
              </w:rPr>
              <w:t xml:space="preserve">How clearly a person evaluates other people, relationships, empathy and social dynamics</w:t>
            </w:r>
          </w:p>
        </w:tc>
        <w:tc>
          <w:tcPr>
            <w:tcW w:type="dxa" w:w="3120"/>
            <w:tcBorders>
              <w:top w:val="single" w:color="CCCCCC" w:sz="1"/>
              <w:left w:val="single" w:color="CCCCCC" w:sz="1"/>
              <w:bottom w:val="single" w:color="CCCCCC" w:sz="1"/>
              <w:right w:val="single" w:color="CCCCCC" w:sz="1"/>
            </w:tcBorders>
            <w:shd w:fill="E6F4F1" w:val="clear"/>
            <w:tcMar>
              <w:top w:type="dxa" w:w="65"/>
              <w:left w:type="dxa" w:w="100"/>
              <w:bottom w:type="dxa" w:w="65"/>
              <w:right w:type="dxa" w:w="100"/>
            </w:tcMar>
          </w:tcPr>
          <w:p>
            <w:r>
              <w:rPr>
                <w:rFonts w:ascii="Arial" w:cs="Arial" w:eastAsia="Arial" w:hAnsi="Arial"/>
                <w:b w:val="false"/>
                <w:bCs w:val="false"/>
                <w:color w:val="1A1A2E"/>
                <w:sz w:val="19"/>
                <w:szCs w:val="19"/>
              </w:rPr>
              <w:t xml:space="preserve">Predicts psychological safety creation, team cohesion, conflict resolution and retention - the relational leadership foundation</w:t>
            </w:r>
          </w:p>
        </w:tc>
      </w:tr>
      <w:tr>
        <w:tc>
          <w:tcPr>
            <w:tcW w:type="dxa" w:w="3120"/>
            <w:tcBorders>
              <w:top w:val="single" w:color="CCCCCC" w:sz="1"/>
              <w:left w:val="single" w:color="CCCCCC" w:sz="1"/>
              <w:bottom w:val="single" w:color="CCCCCC" w:sz="1"/>
              <w:right w:val="single" w:color="CCCCCC" w:sz="1"/>
            </w:tcBorders>
            <w:shd w:fill="E8EDF5" w:val="clear"/>
            <w:tcMar>
              <w:top w:type="dxa" w:w="65"/>
              <w:left w:type="dxa" w:w="100"/>
              <w:bottom w:type="dxa" w:w="65"/>
              <w:right w:type="dxa" w:w="100"/>
            </w:tcMar>
          </w:tcPr>
          <w:p>
            <w:r>
              <w:rPr>
                <w:rFonts w:ascii="Arial" w:cs="Arial" w:eastAsia="Arial" w:hAnsi="Arial"/>
                <w:b/>
                <w:bCs/>
                <w:color w:val="1B3A6B"/>
                <w:sz w:val="19"/>
                <w:szCs w:val="19"/>
              </w:rPr>
              <w:t xml:space="preserve">Big Picture (Strategic Insight)</w:t>
            </w:r>
          </w:p>
        </w:tc>
        <w:tc>
          <w:tcPr>
            <w:tcW w:type="dxa" w:w="3120"/>
            <w:tcBorders>
              <w:top w:val="single" w:color="CCCCCC" w:sz="1"/>
              <w:left w:val="single" w:color="CCCCCC" w:sz="1"/>
              <w:bottom w:val="single" w:color="CCCCCC" w:sz="1"/>
              <w:right w:val="single" w:color="CCCCCC" w:sz="1"/>
            </w:tcBorders>
            <w:shd w:fill="EEF2F8" w:val="clear"/>
            <w:tcMar>
              <w:top w:type="dxa" w:w="65"/>
              <w:left w:type="dxa" w:w="100"/>
              <w:bottom w:type="dxa" w:w="65"/>
              <w:right w:type="dxa" w:w="100"/>
            </w:tcMar>
          </w:tcPr>
          <w:p>
            <w:r>
              <w:rPr>
                <w:rFonts w:ascii="Arial" w:cs="Arial" w:eastAsia="Arial" w:hAnsi="Arial"/>
                <w:b w:val="false"/>
                <w:bCs w:val="false"/>
                <w:color w:val="1A1A2E"/>
                <w:sz w:val="19"/>
                <w:szCs w:val="19"/>
              </w:rPr>
              <w:t xml:space="preserve">How clearly a person evaluates concepts, values, strategic possibilities and systemic thinking</w:t>
            </w:r>
          </w:p>
        </w:tc>
        <w:tc>
          <w:tcPr>
            <w:tcW w:type="dxa" w:w="3120"/>
            <w:tcBorders>
              <w:top w:val="single" w:color="CCCCCC" w:sz="1"/>
              <w:left w:val="single" w:color="CCCCCC" w:sz="1"/>
              <w:bottom w:val="single" w:color="CCCCCC" w:sz="1"/>
              <w:right w:val="single" w:color="CCCCCC" w:sz="1"/>
            </w:tcBorders>
            <w:shd w:fill="E6F4F1" w:val="clear"/>
            <w:tcMar>
              <w:top w:type="dxa" w:w="65"/>
              <w:left w:type="dxa" w:w="100"/>
              <w:bottom w:type="dxa" w:w="65"/>
              <w:right w:type="dxa" w:w="100"/>
            </w:tcMar>
          </w:tcPr>
          <w:p>
            <w:r>
              <w:rPr>
                <w:rFonts w:ascii="Arial" w:cs="Arial" w:eastAsia="Arial" w:hAnsi="Arial"/>
                <w:b w:val="false"/>
                <w:bCs w:val="false"/>
                <w:color w:val="1A1A2E"/>
                <w:sz w:val="19"/>
                <w:szCs w:val="19"/>
              </w:rPr>
              <w:t xml:space="preserve">Predicts ethical clarity, strategic judgement, adaptability to change and decision quality in ambiguous conditions</w:t>
            </w:r>
          </w:p>
        </w:tc>
      </w:tr>
    </w:tbl>
    <w:p>
      <w:pPr>
        <w:spacing w:after="0" w:before="70"/>
      </w:pPr>
    </w:p>
    <w:p>
      <w:pPr>
        <w:pStyle w:val="Heading2"/>
        <w:keepNext/>
        <w:spacing w:after="90" w:before="240"/>
      </w:pPr>
      <w:r>
        <w:rPr>
          <w:rFonts w:ascii="Arial" w:cs="Arial" w:eastAsia="Arial" w:hAnsi="Arial"/>
          <w:b/>
          <w:bCs/>
          <w:color w:val="147842"/>
          <w:sz w:val="26"/>
          <w:szCs w:val="26"/>
        </w:rPr>
        <w:t xml:space="preserve">Why Axiology Outperforms Personality Profiling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20"/>
        <w:gridCol w:w="3420"/>
        <w:gridCol w:w="3420"/>
      </w:tblGrid>
      <w:tr>
        <w:tc>
          <w:tcPr>
            <w:tcW w:type="dxa" w:w="2520"/>
            <w:tcBorders>
              <w:top w:val="single" w:color="CCCCCC" w:sz="1"/>
              <w:left w:val="single" w:color="CCCCCC" w:sz="1"/>
              <w:bottom w:val="single" w:color="CCCCCC" w:sz="1"/>
              <w:right w:val="single" w:color="CCCCCC" w:sz="1"/>
            </w:tcBorders>
            <w:shd w:fill="1B3A6B" w:val="clear"/>
            <w:tcMar>
              <w:top w:type="dxa" w:w="85"/>
              <w:left w:type="dxa" w:w="100"/>
              <w:bottom w:type="dxa" w:w="85"/>
              <w:right w:type="dxa" w:w="100"/>
            </w:tcMar>
          </w:tcPr>
          <w:p>
            <w:r>
              <w:rPr>
                <w:rFonts w:ascii="Arial" w:cs="Arial" w:eastAsia="Arial" w:hAnsi="Arial"/>
                <w:b/>
                <w:bCs/>
                <w:color w:val="FFFFFF"/>
                <w:sz w:val="19"/>
                <w:szCs w:val="19"/>
              </w:rPr>
              <w:t xml:space="preserve">Dimension</w:t>
            </w:r>
          </w:p>
        </w:tc>
        <w:tc>
          <w:tcPr>
            <w:tcW w:type="dxa" w:w="3420"/>
            <w:tcBorders>
              <w:top w:val="single" w:color="CCCCCC" w:sz="1"/>
              <w:left w:val="single" w:color="CCCCCC" w:sz="1"/>
              <w:bottom w:val="single" w:color="CCCCCC" w:sz="1"/>
              <w:right w:val="single" w:color="CCCCCC" w:sz="1"/>
            </w:tcBorders>
            <w:shd w:fill="1B3A6B" w:val="clear"/>
            <w:tcMar>
              <w:top w:type="dxa" w:w="85"/>
              <w:left w:type="dxa" w:w="100"/>
              <w:bottom w:type="dxa" w:w="85"/>
              <w:right w:type="dxa" w:w="100"/>
            </w:tcMar>
          </w:tcPr>
          <w:p>
            <w:r>
              <w:rPr>
                <w:rFonts w:ascii="Arial" w:cs="Arial" w:eastAsia="Arial" w:hAnsi="Arial"/>
                <w:b/>
                <w:bCs/>
                <w:color w:val="FFFFFF"/>
                <w:sz w:val="19"/>
                <w:szCs w:val="19"/>
              </w:rPr>
              <w:t xml:space="preserve">Personality Profiling</w:t>
            </w:r>
          </w:p>
        </w:tc>
        <w:tc>
          <w:tcPr>
            <w:tcW w:type="dxa" w:w="3420"/>
            <w:tcBorders>
              <w:top w:val="single" w:color="CCCCCC" w:sz="1"/>
              <w:left w:val="single" w:color="CCCCCC" w:sz="1"/>
              <w:bottom w:val="single" w:color="CCCCCC" w:sz="1"/>
              <w:right w:val="single" w:color="CCCCCC" w:sz="1"/>
            </w:tcBorders>
            <w:shd w:fill="1B3A6B" w:val="clear"/>
            <w:tcMar>
              <w:top w:type="dxa" w:w="85"/>
              <w:left w:type="dxa" w:w="100"/>
              <w:bottom w:type="dxa" w:w="85"/>
              <w:right w:type="dxa" w:w="100"/>
            </w:tcMar>
          </w:tcPr>
          <w:p>
            <w:r>
              <w:rPr>
                <w:rFonts w:ascii="Arial" w:cs="Arial" w:eastAsia="Arial" w:hAnsi="Arial"/>
                <w:b/>
                <w:bCs/>
                <w:color w:val="FFFFFF"/>
                <w:sz w:val="19"/>
                <w:szCs w:val="19"/>
              </w:rPr>
              <w:t xml:space="preserve">Axiological Measurement (JI)</w:t>
            </w:r>
          </w:p>
        </w:tc>
      </w:tr>
      <w:tr>
        <w:tc>
          <w:tcPr>
            <w:tcW w:type="dxa" w:w="2520"/>
            <w:tcBorders>
              <w:top w:val="single" w:color="CCCCCC" w:sz="1"/>
              <w:left w:val="single" w:color="CCCCCC" w:sz="1"/>
              <w:bottom w:val="single" w:color="CCCCCC" w:sz="1"/>
              <w:right w:val="single" w:color="CCCCCC" w:sz="1"/>
            </w:tcBorders>
            <w:shd w:fill="EEF2F8" w:val="clear"/>
            <w:tcMar>
              <w:top w:type="dxa" w:w="65"/>
              <w:left w:type="dxa" w:w="100"/>
              <w:bottom w:type="dxa" w:w="65"/>
              <w:right w:type="dxa" w:w="100"/>
            </w:tcMar>
          </w:tcPr>
          <w:p>
            <w:r>
              <w:rPr>
                <w:rFonts w:ascii="Arial" w:cs="Arial" w:eastAsia="Arial" w:hAnsi="Arial"/>
                <w:b/>
                <w:bCs/>
                <w:color w:val="1B3A6B"/>
                <w:sz w:val="19"/>
                <w:szCs w:val="19"/>
              </w:rPr>
              <w:t xml:space="preserve">What it measures</w:t>
            </w:r>
          </w:p>
        </w:tc>
        <w:tc>
          <w:tcPr>
            <w:tcW w:type="dxa" w:w="3420"/>
            <w:tcBorders>
              <w:top w:val="single" w:color="CCCCCC" w:sz="1"/>
              <w:left w:val="single" w:color="CCCCCC" w:sz="1"/>
              <w:bottom w:val="single" w:color="CCCCCC" w:sz="1"/>
              <w:right w:val="single" w:color="CCCCCC" w:sz="1"/>
            </w:tcBorders>
            <w:shd w:fill="FDECEA" w:val="clear"/>
            <w:tcMar>
              <w:top w:type="dxa" w:w="65"/>
              <w:left w:type="dxa" w:w="100"/>
              <w:bottom w:type="dxa" w:w="65"/>
              <w:right w:type="dxa" w:w="100"/>
            </w:tcMar>
          </w:tcPr>
          <w:p>
            <w:r>
              <w:rPr>
                <w:rFonts w:ascii="Arial" w:cs="Arial" w:eastAsia="Arial" w:hAnsi="Arial"/>
                <w:b w:val="false"/>
                <w:bCs w:val="false"/>
                <w:color w:val="1A1A2E"/>
                <w:sz w:val="19"/>
                <w:szCs w:val="19"/>
              </w:rPr>
              <w:t xml:space="preserve">Tendencies and preferences in normal conditions</w:t>
            </w:r>
          </w:p>
        </w:tc>
        <w:tc>
          <w:tcPr>
            <w:tcW w:type="dxa" w:w="3420"/>
            <w:tcBorders>
              <w:top w:val="single" w:color="CCCCCC" w:sz="1"/>
              <w:left w:val="single" w:color="CCCCCC" w:sz="1"/>
              <w:bottom w:val="single" w:color="CCCCCC" w:sz="1"/>
              <w:right w:val="single" w:color="CCCCCC" w:sz="1"/>
            </w:tcBorders>
            <w:shd w:fill="E8F5EE" w:val="clear"/>
            <w:tcMar>
              <w:top w:type="dxa" w:w="65"/>
              <w:left w:type="dxa" w:w="100"/>
              <w:bottom w:type="dxa" w:w="65"/>
              <w:right w:type="dxa" w:w="100"/>
            </w:tcMar>
          </w:tcPr>
          <w:p>
            <w:r>
              <w:rPr>
                <w:rFonts w:ascii="Arial" w:cs="Arial" w:eastAsia="Arial" w:hAnsi="Arial"/>
                <w:b w:val="false"/>
                <w:bCs w:val="false"/>
                <w:color w:val="1A1A2E"/>
                <w:sz w:val="19"/>
                <w:szCs w:val="19"/>
              </w:rPr>
              <w:t xml:space="preserve">Quality of the evaluative process that produces behaviour</w:t>
            </w:r>
          </w:p>
        </w:tc>
      </w:tr>
      <w:tr>
        <w:tc>
          <w:tcPr>
            <w:tcW w:type="dxa" w:w="2520"/>
            <w:tcBorders>
              <w:top w:val="single" w:color="CCCCCC" w:sz="1"/>
              <w:left w:val="single" w:color="CCCCCC" w:sz="1"/>
              <w:bottom w:val="single" w:color="CCCCCC" w:sz="1"/>
              <w:right w:val="single" w:color="CCCCCC" w:sz="1"/>
            </w:tcBorders>
            <w:shd w:fill="EEF2F8" w:val="clear"/>
            <w:tcMar>
              <w:top w:type="dxa" w:w="65"/>
              <w:left w:type="dxa" w:w="100"/>
              <w:bottom w:type="dxa" w:w="65"/>
              <w:right w:type="dxa" w:w="100"/>
            </w:tcMar>
          </w:tcPr>
          <w:p>
            <w:r>
              <w:rPr>
                <w:rFonts w:ascii="Arial" w:cs="Arial" w:eastAsia="Arial" w:hAnsi="Arial"/>
                <w:b/>
                <w:bCs/>
                <w:color w:val="1B3A6B"/>
                <w:sz w:val="19"/>
                <w:szCs w:val="19"/>
              </w:rPr>
              <w:t xml:space="preserve">Pressure validity</w:t>
            </w:r>
          </w:p>
        </w:tc>
        <w:tc>
          <w:tcPr>
            <w:tcW w:type="dxa" w:w="3420"/>
            <w:tcBorders>
              <w:top w:val="single" w:color="CCCCCC" w:sz="1"/>
              <w:left w:val="single" w:color="CCCCCC" w:sz="1"/>
              <w:bottom w:val="single" w:color="CCCCCC" w:sz="1"/>
              <w:right w:val="single" w:color="CCCCCC" w:sz="1"/>
            </w:tcBorders>
            <w:shd w:fill="FDECEA" w:val="clear"/>
            <w:tcMar>
              <w:top w:type="dxa" w:w="65"/>
              <w:left w:type="dxa" w:w="100"/>
              <w:bottom w:type="dxa" w:w="65"/>
              <w:right w:type="dxa" w:w="100"/>
            </w:tcMar>
          </w:tcPr>
          <w:p>
            <w:r>
              <w:rPr>
                <w:rFonts w:ascii="Arial" w:cs="Arial" w:eastAsia="Arial" w:hAnsi="Arial"/>
                <w:b w:val="false"/>
                <w:bCs w:val="false"/>
                <w:color w:val="1A1A2E"/>
                <w:sz w:val="19"/>
                <w:szCs w:val="19"/>
              </w:rPr>
              <w:t xml:space="preserve">Tends to measure the person in stable conditions</w:t>
            </w:r>
          </w:p>
        </w:tc>
        <w:tc>
          <w:tcPr>
            <w:tcW w:type="dxa" w:w="3420"/>
            <w:tcBorders>
              <w:top w:val="single" w:color="CCCCCC" w:sz="1"/>
              <w:left w:val="single" w:color="CCCCCC" w:sz="1"/>
              <w:bottom w:val="single" w:color="CCCCCC" w:sz="1"/>
              <w:right w:val="single" w:color="CCCCCC" w:sz="1"/>
            </w:tcBorders>
            <w:shd w:fill="E8F5EE" w:val="clear"/>
            <w:tcMar>
              <w:top w:type="dxa" w:w="65"/>
              <w:left w:type="dxa" w:w="100"/>
              <w:bottom w:type="dxa" w:w="65"/>
              <w:right w:type="dxa" w:w="100"/>
            </w:tcMar>
          </w:tcPr>
          <w:p>
            <w:r>
              <w:rPr>
                <w:rFonts w:ascii="Arial" w:cs="Arial" w:eastAsia="Arial" w:hAnsi="Arial"/>
                <w:b w:val="false"/>
                <w:bCs w:val="false"/>
                <w:color w:val="1A1A2E"/>
                <w:sz w:val="19"/>
                <w:szCs w:val="19"/>
              </w:rPr>
              <w:t xml:space="preserve">Specifically predicts performance when conditions become difficult</w:t>
            </w:r>
          </w:p>
        </w:tc>
      </w:tr>
      <w:tr>
        <w:tc>
          <w:tcPr>
            <w:tcW w:type="dxa" w:w="2520"/>
            <w:tcBorders>
              <w:top w:val="single" w:color="CCCCCC" w:sz="1"/>
              <w:left w:val="single" w:color="CCCCCC" w:sz="1"/>
              <w:bottom w:val="single" w:color="CCCCCC" w:sz="1"/>
              <w:right w:val="single" w:color="CCCCCC" w:sz="1"/>
            </w:tcBorders>
            <w:shd w:fill="EEF2F8" w:val="clear"/>
            <w:tcMar>
              <w:top w:type="dxa" w:w="65"/>
              <w:left w:type="dxa" w:w="100"/>
              <w:bottom w:type="dxa" w:w="65"/>
              <w:right w:type="dxa" w:w="100"/>
            </w:tcMar>
          </w:tcPr>
          <w:p>
            <w:r>
              <w:rPr>
                <w:rFonts w:ascii="Arial" w:cs="Arial" w:eastAsia="Arial" w:hAnsi="Arial"/>
                <w:b/>
                <w:bCs/>
                <w:color w:val="1B3A6B"/>
                <w:sz w:val="19"/>
                <w:szCs w:val="19"/>
              </w:rPr>
              <w:t xml:space="preserve">Social desirability</w:t>
            </w:r>
          </w:p>
        </w:tc>
        <w:tc>
          <w:tcPr>
            <w:tcW w:type="dxa" w:w="3420"/>
            <w:tcBorders>
              <w:top w:val="single" w:color="CCCCCC" w:sz="1"/>
              <w:left w:val="single" w:color="CCCCCC" w:sz="1"/>
              <w:bottom w:val="single" w:color="CCCCCC" w:sz="1"/>
              <w:right w:val="single" w:color="CCCCCC" w:sz="1"/>
            </w:tcBorders>
            <w:shd w:fill="FDECEA" w:val="clear"/>
            <w:tcMar>
              <w:top w:type="dxa" w:w="65"/>
              <w:left w:type="dxa" w:w="100"/>
              <w:bottom w:type="dxa" w:w="65"/>
              <w:right w:type="dxa" w:w="100"/>
            </w:tcMar>
          </w:tcPr>
          <w:p>
            <w:r>
              <w:rPr>
                <w:rFonts w:ascii="Arial" w:cs="Arial" w:eastAsia="Arial" w:hAnsi="Arial"/>
                <w:b w:val="false"/>
                <w:bCs w:val="false"/>
                <w:color w:val="1A1A2E"/>
                <w:sz w:val="19"/>
                <w:szCs w:val="19"/>
              </w:rPr>
              <w:t xml:space="preserve">Subject to gaming - people can answer how they think they should</w:t>
            </w:r>
          </w:p>
        </w:tc>
        <w:tc>
          <w:tcPr>
            <w:tcW w:type="dxa" w:w="3420"/>
            <w:tcBorders>
              <w:top w:val="single" w:color="CCCCCC" w:sz="1"/>
              <w:left w:val="single" w:color="CCCCCC" w:sz="1"/>
              <w:bottom w:val="single" w:color="CCCCCC" w:sz="1"/>
              <w:right w:val="single" w:color="CCCCCC" w:sz="1"/>
            </w:tcBorders>
            <w:shd w:fill="E8F5EE" w:val="clear"/>
            <w:tcMar>
              <w:top w:type="dxa" w:w="65"/>
              <w:left w:type="dxa" w:w="100"/>
              <w:bottom w:type="dxa" w:w="65"/>
              <w:right w:type="dxa" w:w="100"/>
            </w:tcMar>
          </w:tcPr>
          <w:p>
            <w:r>
              <w:rPr>
                <w:rFonts w:ascii="Arial" w:cs="Arial" w:eastAsia="Arial" w:hAnsi="Arial"/>
                <w:b w:val="false"/>
                <w:bCs w:val="false"/>
                <w:color w:val="1A1A2E"/>
                <w:sz w:val="19"/>
                <w:szCs w:val="19"/>
              </w:rPr>
              <w:t xml:space="preserve">Cannot be gamed - the axiological methodology eliminates strategic responding</w:t>
            </w:r>
          </w:p>
        </w:tc>
      </w:tr>
      <w:tr>
        <w:tc>
          <w:tcPr>
            <w:tcW w:type="dxa" w:w="2520"/>
            <w:tcBorders>
              <w:top w:val="single" w:color="CCCCCC" w:sz="1"/>
              <w:left w:val="single" w:color="CCCCCC" w:sz="1"/>
              <w:bottom w:val="single" w:color="CCCCCC" w:sz="1"/>
              <w:right w:val="single" w:color="CCCCCC" w:sz="1"/>
            </w:tcBorders>
            <w:shd w:fill="EEF2F8" w:val="clear"/>
            <w:tcMar>
              <w:top w:type="dxa" w:w="65"/>
              <w:left w:type="dxa" w:w="100"/>
              <w:bottom w:type="dxa" w:w="65"/>
              <w:right w:type="dxa" w:w="100"/>
            </w:tcMar>
          </w:tcPr>
          <w:p>
            <w:r>
              <w:rPr>
                <w:rFonts w:ascii="Arial" w:cs="Arial" w:eastAsia="Arial" w:hAnsi="Arial"/>
                <w:b/>
                <w:bCs/>
                <w:color w:val="1B3A6B"/>
                <w:sz w:val="19"/>
                <w:szCs w:val="19"/>
              </w:rPr>
              <w:t xml:space="preserve">Validity verification</w:t>
            </w:r>
          </w:p>
        </w:tc>
        <w:tc>
          <w:tcPr>
            <w:tcW w:type="dxa" w:w="3420"/>
            <w:tcBorders>
              <w:top w:val="single" w:color="CCCCCC" w:sz="1"/>
              <w:left w:val="single" w:color="CCCCCC" w:sz="1"/>
              <w:bottom w:val="single" w:color="CCCCCC" w:sz="1"/>
              <w:right w:val="single" w:color="CCCCCC" w:sz="1"/>
            </w:tcBorders>
            <w:shd w:fill="FDECEA" w:val="clear"/>
            <w:tcMar>
              <w:top w:type="dxa" w:w="65"/>
              <w:left w:type="dxa" w:w="100"/>
              <w:bottom w:type="dxa" w:w="65"/>
              <w:right w:type="dxa" w:w="100"/>
            </w:tcMar>
          </w:tcPr>
          <w:p>
            <w:r>
              <w:rPr>
                <w:rFonts w:ascii="Arial" w:cs="Arial" w:eastAsia="Arial" w:hAnsi="Arial"/>
                <w:b w:val="false"/>
                <w:bCs w:val="false"/>
                <w:color w:val="1A1A2E"/>
                <w:sz w:val="19"/>
                <w:szCs w:val="19"/>
              </w:rPr>
              <w:t xml:space="preserve">Relies on population norms and scale consistency</w:t>
            </w:r>
          </w:p>
        </w:tc>
        <w:tc>
          <w:tcPr>
            <w:tcW w:type="dxa" w:w="3420"/>
            <w:tcBorders>
              <w:top w:val="single" w:color="CCCCCC" w:sz="1"/>
              <w:left w:val="single" w:color="CCCCCC" w:sz="1"/>
              <w:bottom w:val="single" w:color="CCCCCC" w:sz="1"/>
              <w:right w:val="single" w:color="CCCCCC" w:sz="1"/>
            </w:tcBorders>
            <w:shd w:fill="E8F5EE" w:val="clear"/>
            <w:tcMar>
              <w:top w:type="dxa" w:w="65"/>
              <w:left w:type="dxa" w:w="100"/>
              <w:bottom w:type="dxa" w:w="65"/>
              <w:right w:type="dxa" w:w="100"/>
            </w:tcMar>
          </w:tcPr>
          <w:p>
            <w:r>
              <w:rPr>
                <w:rFonts w:ascii="Arial" w:cs="Arial" w:eastAsia="Arial" w:hAnsi="Arial"/>
                <w:b w:val="false"/>
                <w:bCs w:val="false"/>
                <w:color w:val="1A1A2E"/>
                <w:sz w:val="19"/>
                <w:szCs w:val="19"/>
              </w:rPr>
              <w:t xml:space="preserve">RHO validity score confirms authenticity of individual response</w:t>
            </w:r>
          </w:p>
        </w:tc>
      </w:tr>
      <w:tr>
        <w:tc>
          <w:tcPr>
            <w:tcW w:type="dxa" w:w="2520"/>
            <w:tcBorders>
              <w:top w:val="single" w:color="CCCCCC" w:sz="1"/>
              <w:left w:val="single" w:color="CCCCCC" w:sz="1"/>
              <w:bottom w:val="single" w:color="CCCCCC" w:sz="1"/>
              <w:right w:val="single" w:color="CCCCCC" w:sz="1"/>
            </w:tcBorders>
            <w:shd w:fill="EEF2F8" w:val="clear"/>
            <w:tcMar>
              <w:top w:type="dxa" w:w="65"/>
              <w:left w:type="dxa" w:w="100"/>
              <w:bottom w:type="dxa" w:w="65"/>
              <w:right w:type="dxa" w:w="100"/>
            </w:tcMar>
          </w:tcPr>
          <w:p>
            <w:r>
              <w:rPr>
                <w:rFonts w:ascii="Arial" w:cs="Arial" w:eastAsia="Arial" w:hAnsi="Arial"/>
                <w:b/>
                <w:bCs/>
                <w:color w:val="1B3A6B"/>
                <w:sz w:val="19"/>
                <w:szCs w:val="19"/>
              </w:rPr>
              <w:t xml:space="preserve">Coaching foundation</w:t>
            </w:r>
          </w:p>
        </w:tc>
        <w:tc>
          <w:tcPr>
            <w:tcW w:type="dxa" w:w="3420"/>
            <w:tcBorders>
              <w:top w:val="single" w:color="CCCCCC" w:sz="1"/>
              <w:left w:val="single" w:color="CCCCCC" w:sz="1"/>
              <w:bottom w:val="single" w:color="CCCCCC" w:sz="1"/>
              <w:right w:val="single" w:color="CCCCCC" w:sz="1"/>
            </w:tcBorders>
            <w:shd w:fill="FDECEA" w:val="clear"/>
            <w:tcMar>
              <w:top w:type="dxa" w:w="65"/>
              <w:left w:type="dxa" w:w="100"/>
              <w:bottom w:type="dxa" w:w="65"/>
              <w:right w:type="dxa" w:w="100"/>
            </w:tcMar>
          </w:tcPr>
          <w:p>
            <w:r>
              <w:rPr>
                <w:rFonts w:ascii="Arial" w:cs="Arial" w:eastAsia="Arial" w:hAnsi="Arial"/>
                <w:b w:val="false"/>
                <w:bCs w:val="false"/>
                <w:color w:val="1A1A2E"/>
                <w:sz w:val="19"/>
                <w:szCs w:val="19"/>
              </w:rPr>
              <w:t xml:space="preserve">Describes style preferences for the coachee to reflect on</w:t>
            </w:r>
          </w:p>
        </w:tc>
        <w:tc>
          <w:tcPr>
            <w:tcW w:type="dxa" w:w="3420"/>
            <w:tcBorders>
              <w:top w:val="single" w:color="CCCCCC" w:sz="1"/>
              <w:left w:val="single" w:color="CCCCCC" w:sz="1"/>
              <w:bottom w:val="single" w:color="CCCCCC" w:sz="1"/>
              <w:right w:val="single" w:color="CCCCCC" w:sz="1"/>
            </w:tcBorders>
            <w:shd w:fill="E8F5EE" w:val="clear"/>
            <w:tcMar>
              <w:top w:type="dxa" w:w="65"/>
              <w:left w:type="dxa" w:w="100"/>
              <w:bottom w:type="dxa" w:w="65"/>
              <w:right w:type="dxa" w:w="100"/>
            </w:tcMar>
          </w:tcPr>
          <w:p>
            <w:r>
              <w:rPr>
                <w:rFonts w:ascii="Arial" w:cs="Arial" w:eastAsia="Arial" w:hAnsi="Arial"/>
                <w:b w:val="false"/>
                <w:bCs w:val="false"/>
                <w:color w:val="1A1A2E"/>
                <w:sz w:val="19"/>
                <w:szCs w:val="19"/>
              </w:rPr>
              <w:t xml:space="preserve">Reveals the first-principles value structure that the coaching must work with</w:t>
            </w:r>
          </w:p>
        </w:tc>
      </w:tr>
      <w:tr>
        <w:tc>
          <w:tcPr>
            <w:tcW w:type="dxa" w:w="2520"/>
            <w:tcBorders>
              <w:top w:val="single" w:color="CCCCCC" w:sz="1"/>
              <w:left w:val="single" w:color="CCCCCC" w:sz="1"/>
              <w:bottom w:val="single" w:color="CCCCCC" w:sz="1"/>
              <w:right w:val="single" w:color="CCCCCC" w:sz="1"/>
            </w:tcBorders>
            <w:shd w:fill="EEF2F8" w:val="clear"/>
            <w:tcMar>
              <w:top w:type="dxa" w:w="65"/>
              <w:left w:type="dxa" w:w="100"/>
              <w:bottom w:type="dxa" w:w="65"/>
              <w:right w:type="dxa" w:w="100"/>
            </w:tcMar>
          </w:tcPr>
          <w:p>
            <w:r>
              <w:rPr>
                <w:rFonts w:ascii="Arial" w:cs="Arial" w:eastAsia="Arial" w:hAnsi="Arial"/>
                <w:b/>
                <w:bCs/>
                <w:color w:val="1B3A6B"/>
                <w:sz w:val="19"/>
                <w:szCs w:val="19"/>
              </w:rPr>
              <w:t xml:space="preserve">Predictive power</w:t>
            </w:r>
          </w:p>
        </w:tc>
        <w:tc>
          <w:tcPr>
            <w:tcW w:type="dxa" w:w="3420"/>
            <w:tcBorders>
              <w:top w:val="single" w:color="CCCCCC" w:sz="1"/>
              <w:left w:val="single" w:color="CCCCCC" w:sz="1"/>
              <w:bottom w:val="single" w:color="CCCCCC" w:sz="1"/>
              <w:right w:val="single" w:color="CCCCCC" w:sz="1"/>
            </w:tcBorders>
            <w:shd w:fill="FDECEA" w:val="clear"/>
            <w:tcMar>
              <w:top w:type="dxa" w:w="65"/>
              <w:left w:type="dxa" w:w="100"/>
              <w:bottom w:type="dxa" w:w="65"/>
              <w:right w:type="dxa" w:w="100"/>
            </w:tcMar>
          </w:tcPr>
          <w:p>
            <w:r>
              <w:rPr>
                <w:rFonts w:ascii="Arial" w:cs="Arial" w:eastAsia="Arial" w:hAnsi="Arial"/>
                <w:b w:val="false"/>
                <w:bCs w:val="false"/>
                <w:color w:val="1A1A2E"/>
                <w:sz w:val="19"/>
                <w:szCs w:val="19"/>
              </w:rPr>
              <w:t xml:space="preserve">Predicts behaviour in conditions similar to assessment conditions</w:t>
            </w:r>
          </w:p>
        </w:tc>
        <w:tc>
          <w:tcPr>
            <w:tcW w:type="dxa" w:w="3420"/>
            <w:tcBorders>
              <w:top w:val="single" w:color="CCCCCC" w:sz="1"/>
              <w:left w:val="single" w:color="CCCCCC" w:sz="1"/>
              <w:bottom w:val="single" w:color="CCCCCC" w:sz="1"/>
              <w:right w:val="single" w:color="CCCCCC" w:sz="1"/>
            </w:tcBorders>
            <w:shd w:fill="E8F5EE" w:val="clear"/>
            <w:tcMar>
              <w:top w:type="dxa" w:w="65"/>
              <w:left w:type="dxa" w:w="100"/>
              <w:bottom w:type="dxa" w:w="65"/>
              <w:right w:type="dxa" w:w="100"/>
            </w:tcMar>
          </w:tcPr>
          <w:p>
            <w:r>
              <w:rPr>
                <w:rFonts w:ascii="Arial" w:cs="Arial" w:eastAsia="Arial" w:hAnsi="Arial"/>
                <w:b w:val="false"/>
                <w:bCs w:val="false"/>
                <w:color w:val="1A1A2E"/>
                <w:sz w:val="19"/>
                <w:szCs w:val="19"/>
              </w:rPr>
              <w:t xml:space="preserve">Predicts behaviour when conditions change - the most commercially relevant question</w:t>
            </w:r>
          </w:p>
        </w:tc>
      </w:tr>
    </w:tbl>
    <w:p>
      <w:pPr>
        <w:spacing w:after="0" w:before="70"/>
      </w:pPr>
    </w:p>
    <w:p>
      <w:pPr>
        <w:pStyle w:val="Heading2"/>
        <w:keepNext/>
        <w:spacing w:after="90" w:before="240"/>
      </w:pPr>
      <w:r>
        <w:rPr>
          <w:rFonts w:ascii="Arial" w:cs="Arial" w:eastAsia="Arial" w:hAnsi="Arial"/>
          <w:b/>
          <w:bCs/>
          <w:color w:val="0D7A6B"/>
          <w:sz w:val="26"/>
          <w:szCs w:val="26"/>
        </w:rPr>
        <w:t xml:space="preserve">The Australian Application</w:t>
      </w:r>
    </w:p>
    <w:p>
      <w:pPr>
        <w:spacing w:after="65" w:before="65"/>
      </w:pPr>
      <w:r>
        <w:rPr>
          <w:rFonts w:ascii="Arial" w:cs="Arial" w:eastAsia="Arial" w:hAnsi="Arial"/>
          <w:b w:val="false"/>
          <w:bCs w:val="false"/>
          <w:i w:val="false"/>
          <w:iCs w:val="false"/>
          <w:color w:val="1A1A2E"/>
          <w:sz w:val="22"/>
          <w:szCs w:val="22"/>
        </w:rPr>
        <w:t xml:space="preserve">In the context of Australia’s 2022–2023 WHS Regulations requiring proactive identification of psychosocial hazards, the distinction between personality description and axiological measurement becomes a legal and governance matter as well as a commercial one. Psychosocial risk assessment requires individual-level data on how people actually cope, relate and decide under pressure. Personality profiling provides group-level tendencies. The JI provides individual-level precision.</w:t>
      </w:r>
    </w:p>
    <w:p>
      <w:pPr>
        <w:spacing w:after="0" w:before="55"/>
      </w:pPr>
    </w:p>
    <w:p>
      <w:pPr>
        <w:spacing w:after="65" w:before="65"/>
      </w:pPr>
      <w:r>
        <w:rPr>
          <w:rFonts w:ascii="Arial" w:cs="Arial" w:eastAsia="Arial" w:hAnsi="Arial"/>
          <w:b w:val="false"/>
          <w:bCs w:val="false"/>
          <w:i w:val="false"/>
          <w:iCs w:val="false"/>
          <w:color w:val="1A1A2E"/>
          <w:sz w:val="22"/>
          <w:szCs w:val="22"/>
        </w:rPr>
        <w:t xml:space="preserve">For Australian CHROs, HR Directors and board members navigating the 5Rs Effect - simultaneous recruitment, retention, reorganisation, reskilling and redundancy - the question is not what kind of personality their leaders have. The question is whether those leaders have the judgement quality to sustain clear, ethical, relational decision-making under the specific pressure of managing all five simultaneously.</w:t>
      </w:r>
    </w:p>
    <w:p>
      <w:pPr>
        <w:spacing w:after="0" w:before="55"/>
      </w:pPr>
    </w:p>
    <w:p>
      <w:pPr>
        <w:spacing w:after="65" w:before="65"/>
      </w:pPr>
      <w:r>
        <w:rPr>
          <w:rFonts w:ascii="Arial" w:cs="Arial" w:eastAsia="Arial" w:hAnsi="Arial"/>
          <w:b w:val="false"/>
          <w:bCs w:val="false"/>
          <w:i w:val="false"/>
          <w:iCs w:val="false"/>
          <w:color w:val="1A1A2E"/>
          <w:sz w:val="22"/>
          <w:szCs w:val="22"/>
        </w:rPr>
        <w:t xml:space="preserve">Axiology answers that question. Personality profiling does not.</w:t>
      </w:r>
    </w:p>
    <w:p>
      <w:pPr>
        <w:spacing w:after="0" w:before="7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EF2F8" w:val="clear"/>
            <w:tcMar>
              <w:top w:type="dxa" w:w="140"/>
              <w:left w:type="dxa" w:w="180"/>
              <w:bottom w:type="dxa" w:w="140"/>
              <w:right w:type="dxa" w:w="180"/>
            </w:tcMar>
          </w:tcPr>
          <w:p>
            <w:pPr>
              <w:spacing w:after="80" w:before="0"/>
            </w:pPr>
            <w:r>
              <w:rPr>
                <w:rFonts w:ascii="Arial" w:cs="Arial" w:eastAsia="Arial" w:hAnsi="Arial"/>
                <w:b/>
                <w:bCs/>
                <w:color w:val="28374F"/>
                <w:sz w:val="22"/>
                <w:szCs w:val="22"/>
              </w:rPr>
              <w:t xml:space="preserve">Key References — White Paper 1</w:t>
            </w:r>
          </w:p>
          <w:p>
            <w:pPr>
              <w:pStyle w:val="ListParagraph"/>
              <w:keepLines/>
              <w:numPr>
                <w:ilvl w:val="0"/>
                <w:numId w:val="2"/>
              </w:numPr>
              <w:spacing w:after="44" w:before="44"/>
            </w:pPr>
            <w:r>
              <w:rPr>
                <w:rFonts w:ascii="Arial" w:cs="Arial" w:eastAsia="Arial" w:hAnsi="Arial"/>
                <w:color w:val="1A1A2E"/>
                <w:sz w:val="21"/>
                <w:szCs w:val="21"/>
              </w:rPr>
              <w:t xml:space="preserve">Hartman, R.S. (1967). The Structure of Value. Southern Illinois University Press.</w:t>
            </w:r>
          </w:p>
          <w:p>
            <w:pPr>
              <w:pStyle w:val="ListParagraph"/>
              <w:keepLines/>
              <w:numPr>
                <w:ilvl w:val="0"/>
                <w:numId w:val="2"/>
              </w:numPr>
              <w:spacing w:after="44" w:before="44"/>
            </w:pPr>
            <w:r>
              <w:rPr>
                <w:rFonts w:ascii="Arial" w:cs="Arial" w:eastAsia="Arial" w:hAnsi="Arial"/>
                <w:color w:val="1A1A2E"/>
                <w:sz w:val="21"/>
                <w:szCs w:val="21"/>
              </w:rPr>
              <w:t xml:space="preserve">Ciampi, J.S. (2024). A Review of Robert S. Hartman’s 1973 Nobel Peace Prize Nomination. Journal of Formal Axiology, Robert S. Hartman Institute.</w:t>
            </w:r>
          </w:p>
          <w:p>
            <w:pPr>
              <w:pStyle w:val="ListParagraph"/>
              <w:keepLines/>
              <w:numPr>
                <w:ilvl w:val="0"/>
                <w:numId w:val="2"/>
              </w:numPr>
              <w:spacing w:after="44" w:before="44"/>
            </w:pPr>
            <w:r>
              <w:rPr>
                <w:rFonts w:ascii="Arial" w:cs="Arial" w:eastAsia="Arial" w:hAnsi="Arial"/>
                <w:color w:val="1A1A2E"/>
                <w:sz w:val="21"/>
                <w:szCs w:val="21"/>
              </w:rPr>
              <w:t xml:space="preserve">National Library of Medicine / PMC: Hartman Value Profile Clinical Applications (2016).</w:t>
            </w:r>
          </w:p>
          <w:p>
            <w:pPr>
              <w:pStyle w:val="ListParagraph"/>
              <w:keepLines/>
              <w:numPr>
                <w:ilvl w:val="0"/>
                <w:numId w:val="2"/>
              </w:numPr>
              <w:spacing w:after="44" w:before="44"/>
            </w:pPr>
            <w:r>
              <w:rPr>
                <w:rFonts w:ascii="Arial" w:cs="Arial" w:eastAsia="Arial" w:hAnsi="Arial"/>
                <w:color w:val="1A1A2E"/>
                <w:sz w:val="21"/>
                <w:szCs w:val="21"/>
              </w:rPr>
              <w:t xml:space="preserve">Value Resource Group: Validity Studies of the Hartman Value Profile Model. axiologic.org</w:t>
            </w:r>
          </w:p>
          <w:p>
            <w:pPr>
              <w:pStyle w:val="ListParagraph"/>
              <w:keepLines/>
              <w:numPr>
                <w:ilvl w:val="0"/>
                <w:numId w:val="2"/>
              </w:numPr>
              <w:spacing w:after="44" w:before="44"/>
            </w:pPr>
            <w:r>
              <w:rPr>
                <w:rFonts w:ascii="Arial" w:cs="Arial" w:eastAsia="Arial" w:hAnsi="Arial"/>
                <w:color w:val="1A1A2E"/>
                <w:sz w:val="21"/>
                <w:szCs w:val="21"/>
              </w:rPr>
              <w:t xml:space="preserve">Leadskill Research Centre: Hartman Value Profile Review (2023). leadskill.com</w:t>
            </w:r>
          </w:p>
          <w:p>
            <w:pPr>
              <w:pStyle w:val="ListParagraph"/>
              <w:keepLines/>
              <w:numPr>
                <w:ilvl w:val="0"/>
                <w:numId w:val="2"/>
              </w:numPr>
              <w:spacing w:after="44" w:before="44"/>
            </w:pPr>
            <w:r>
              <w:rPr>
                <w:rFonts w:ascii="Arial" w:cs="Arial" w:eastAsia="Arial" w:hAnsi="Arial"/>
                <w:color w:val="1A1A2E"/>
                <w:sz w:val="21"/>
                <w:szCs w:val="21"/>
              </w:rPr>
              <w:t xml:space="preserve">Insight Consulting Inc.: The Hartman Value Profile — Scientific Overview (2022). valueinsights.com</w:t>
            </w:r>
          </w:p>
          <w:p>
            <w:pPr>
              <w:pStyle w:val="ListParagraph"/>
              <w:keepLines/>
              <w:numPr>
                <w:ilvl w:val="0"/>
                <w:numId w:val="2"/>
              </w:numPr>
              <w:spacing w:after="44" w:before="44"/>
            </w:pPr>
            <w:r>
              <w:rPr>
                <w:rFonts w:ascii="Arial" w:cs="Arial" w:eastAsia="Arial" w:hAnsi="Arial"/>
                <w:color w:val="1A1A2E"/>
                <w:sz w:val="21"/>
                <w:szCs w:val="21"/>
              </w:rPr>
              <w:t xml:space="preserve">Safe Work Australia: Code of Practice on Managing Psychosocial Hazards (2022). safeworkaustralia.gov.au</w:t>
            </w:r>
          </w:p>
          <w:p>
            <w:pPr>
              <w:pStyle w:val="ListParagraph"/>
              <w:keepLines/>
              <w:numPr>
                <w:ilvl w:val="0"/>
                <w:numId w:val="2"/>
              </w:numPr>
              <w:spacing w:after="44" w:before="44"/>
            </w:pPr>
            <w:r>
              <w:rPr>
                <w:rFonts w:ascii="Arial" w:cs="Arial" w:eastAsia="Arial" w:hAnsi="Arial"/>
                <w:color w:val="1A1A2E"/>
                <w:sz w:val="21"/>
                <w:szCs w:val="21"/>
              </w:rPr>
              <w:t xml:space="preserve">Edmondson, A.C. &amp; Bransby, D.P. (2023). Psychological Safety Comes of Age. Annual Review of Organizational Psychology, 10, 55–78.</w:t>
            </w:r>
          </w:p>
          <w:p>
            <w:pPr>
              <w:pStyle w:val="ListParagraph"/>
              <w:keepLines/>
              <w:numPr>
                <w:ilvl w:val="0"/>
                <w:numId w:val="2"/>
              </w:numPr>
              <w:spacing w:after="44" w:before="44"/>
            </w:pPr>
            <w:r>
              <w:rPr>
                <w:rFonts w:ascii="Arial" w:cs="Arial" w:eastAsia="Arial" w:hAnsi="Arial"/>
                <w:color w:val="1A1A2E"/>
                <w:sz w:val="21"/>
                <w:szCs w:val="21"/>
              </w:rPr>
              <w:t xml:space="preserve">AHRI Quarterly Australian Work Outlook, September 2025. ahri.com.au</w:t>
            </w:r>
          </w:p>
        </w:tc>
      </w:tr>
    </w:tbl>
    <w:p>
      <w:pPr>
        <w:spacing w:after="0" w:before="55"/>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D7A6B" w:sz="1"/>
              <w:left w:val="single" w:color="0D7A6B" w:sz="1"/>
              <w:bottom w:val="single" w:color="0D7A6B" w:sz="1"/>
              <w:right w:val="single" w:color="0D7A6B" w:sz="1"/>
            </w:tcBorders>
            <w:shd w:fill="E6F4F1" w:val="clear"/>
            <w:tcMar>
              <w:top w:type="dxa" w:w="160"/>
              <w:left w:type="dxa" w:w="200"/>
              <w:bottom w:type="dxa" w:w="160"/>
              <w:right w:type="dxa" w:w="200"/>
            </w:tcMar>
          </w:tcPr>
          <w:p>
            <w:pPr>
              <w:spacing w:after="60" w:before="0"/>
            </w:pPr>
            <w:r>
              <w:rPr>
                <w:rFonts w:ascii="Arial" w:cs="Arial" w:eastAsia="Arial" w:hAnsi="Arial"/>
                <w:b/>
                <w:bCs/>
                <w:color w:val="0D7A6B"/>
                <w:sz w:val="22"/>
                <w:szCs w:val="22"/>
              </w:rPr>
              <w:t xml:space="preserve">What to do next</w:t>
            </w:r>
          </w:p>
          <w:p>
            <w:pPr>
              <w:spacing w:after="50" w:before="0"/>
            </w:pPr>
            <w:r>
              <w:rPr>
                <w:rFonts w:ascii="Arial" w:cs="Arial" w:eastAsia="Arial" w:hAnsi="Arial"/>
                <w:color w:val="1A1A2E"/>
                <w:sz w:val="22"/>
                <w:szCs w:val="22"/>
              </w:rPr>
              <w:t xml:space="preserve">If this paper has raised questions about how your current assessment approach compares to axiological measurement, the most useful next step is a 30-minute conversation with a JIAU advisor. We will show you exactly what the JI reveals that your current tools cannot - using your specific organisational context.</w:t>
            </w:r>
          </w:p>
          <w:p>
            <w:pPr>
              <w:spacing w:after="50" w:before="0"/>
            </w:pPr>
            <w:r>
              <w:rPr>
                <w:rFonts w:ascii="Arial" w:cs="Arial" w:eastAsia="Arial" w:hAnsi="Arial"/>
                <w:b/>
                <w:bCs/>
                <w:color w:val="0D7A6B"/>
                <w:sz w:val="22"/>
                <w:szCs w:val="22"/>
              </w:rPr>
              <w:t xml:space="preserve">Book a 30-Minute Science Briefing: jiau.com.au/book</w:t>
            </w:r>
          </w:p>
          <w:p>
            <w:pPr>
              <w:spacing w:after="0" w:before="0"/>
            </w:pPr>
            <w:r>
              <w:rPr>
                <w:rFonts w:ascii="Arial" w:cs="Arial" w:eastAsia="Arial" w:hAnsi="Arial"/>
                <w:i/>
                <w:iCs/>
                <w:color w:val="4A5568"/>
                <w:sz w:val="20"/>
                <w:szCs w:val="20"/>
              </w:rPr>
              <w:t xml:space="preserve">Book at: jiau.com.au  ·  Or call: 1300 677 572  ·  Or email: info@jiau.com.au</w:t>
            </w:r>
          </w:p>
        </w:tc>
      </w:tr>
    </w:tbl>
    <w:p>
      <w:r>
        <w:br w:type="page"/>
      </w:r>
    </w:p>
    <w:p>
      <w:pPr>
        <w:pStyle w:val="Heading1"/>
        <w:pageBreakBefore/>
        <w:spacing w:after="110" w:before="0"/>
      </w:pPr>
      <w:r>
        <w:rPr>
          <w:rFonts w:ascii="Arial" w:cs="Arial" w:eastAsia="Arial" w:hAnsi="Arial"/>
          <w:b/>
          <w:bCs/>
          <w:color w:val="1B3A6B"/>
          <w:sz w:val="34"/>
          <w:szCs w:val="34"/>
        </w:rPr>
        <w:t xml:space="preserve">White Paper 2: The Hidden Human Risk Report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thick" w:color="B42828" w:sz="12"/>
              <w:left w:val="thick" w:color="B42828" w:sz="12"/>
              <w:bottom w:val="thick" w:color="B42828" w:sz="12"/>
              <w:right w:val="thick" w:color="B42828" w:sz="12"/>
            </w:tcBorders>
            <w:shd w:fill="FDECEA" w:val="clear"/>
            <w:tcMar>
              <w:top w:type="dxa" w:w="200"/>
              <w:left w:type="dxa" w:w="240"/>
              <w:bottom w:type="dxa" w:w="200"/>
              <w:right w:type="dxa" w:w="240"/>
            </w:tcMar>
          </w:tcPr>
          <w:p>
            <w:pPr>
              <w:spacing w:after="14" w:before="0"/>
            </w:pPr>
            <w:r>
              <w:rPr>
                <w:rFonts w:ascii="Arial" w:cs="Arial" w:eastAsia="Arial" w:hAnsi="Arial"/>
                <w:b/>
                <w:bCs/>
                <w:color w:val="B42828"/>
                <w:sz w:val="18"/>
                <w:szCs w:val="18"/>
              </w:rPr>
              <w:t xml:space="preserve">WHITE PAPER 2 OF 10</w:t>
            </w:r>
          </w:p>
          <w:p>
            <w:pPr>
              <w:spacing w:after="24" w:before="0"/>
            </w:pPr>
            <w:r>
              <w:rPr>
                <w:rFonts w:ascii="Arial" w:cs="Arial" w:eastAsia="Arial" w:hAnsi="Arial"/>
                <w:b/>
                <w:bCs/>
                <w:color w:val="1B3A6B"/>
                <w:sz w:val="32"/>
                <w:szCs w:val="32"/>
              </w:rPr>
              <w:t xml:space="preserve">The Hidden Human Risk Report</w:t>
            </w:r>
          </w:p>
          <w:p>
            <w:pPr>
              <w:spacing w:after="40" w:before="0"/>
            </w:pPr>
            <w:r>
              <w:rPr>
                <w:rFonts w:ascii="Arial" w:cs="Arial" w:eastAsia="Arial" w:hAnsi="Arial"/>
                <w:i/>
                <w:iCs/>
                <w:color w:val="4A5568"/>
                <w:sz w:val="22"/>
                <w:szCs w:val="22"/>
              </w:rPr>
              <w:t xml:space="preserve">What Australian Organisations Are Not Measuring - And What It Is Costing Them</w:t>
            </w:r>
          </w:p>
          <w:p>
            <w:pPr>
              <w:pBdr>
                <w:bottom w:val="single" w:color="B42828" w:sz="6" w:space="1"/>
              </w:pBdr>
              <w:spacing w:after="160" w:before="160"/>
            </w:pPr>
          </w:p>
          <w:p>
            <w:pPr>
              <w:spacing w:after="14" w:before="40"/>
            </w:pPr>
            <w:r>
              <w:rPr>
                <w:rFonts w:ascii="Arial" w:cs="Arial" w:eastAsia="Arial" w:hAnsi="Arial"/>
                <w:b/>
                <w:bCs/>
                <w:color w:val="B42828"/>
                <w:sz w:val="20"/>
                <w:szCs w:val="20"/>
              </w:rPr>
              <w:t xml:space="preserve">Primary audience: </w:t>
            </w:r>
            <w:r>
              <w:rPr>
                <w:rFonts w:ascii="Arial" w:cs="Arial" w:eastAsia="Arial" w:hAnsi="Arial"/>
                <w:color w:val="1A1A2E"/>
                <w:sz w:val="20"/>
                <w:szCs w:val="20"/>
              </w:rPr>
              <w:t xml:space="preserve">CEOs, Board Directors, CHROs, Risk Managers</w:t>
            </w:r>
          </w:p>
          <w:p>
            <w:pPr>
              <w:spacing w:after="14" w:before="0"/>
            </w:pPr>
            <w:r>
              <w:rPr>
                <w:rFonts w:ascii="Arial" w:cs="Arial" w:eastAsia="Arial" w:hAnsi="Arial"/>
                <w:b/>
                <w:bCs/>
                <w:color w:val="B42828"/>
                <w:sz w:val="20"/>
                <w:szCs w:val="20"/>
              </w:rPr>
              <w:t xml:space="preserve">Recommended gate: </w:t>
            </w:r>
            <w:r>
              <w:rPr>
                <w:rFonts w:ascii="Arial" w:cs="Arial" w:eastAsia="Arial" w:hAnsi="Arial"/>
                <w:color w:val="1A1A2E"/>
                <w:sz w:val="20"/>
                <w:szCs w:val="20"/>
              </w:rPr>
              <w:t xml:space="preserve">Work email address  ·  First name  ·  Organisation</w:t>
            </w:r>
          </w:p>
          <w:p>
            <w:pPr>
              <w:spacing w:after="14" w:before="0"/>
            </w:pPr>
            <w:r>
              <w:rPr>
                <w:rFonts w:ascii="Arial" w:cs="Arial" w:eastAsia="Arial" w:hAnsi="Arial"/>
                <w:b/>
                <w:bCs/>
                <w:color w:val="B42828"/>
                <w:sz w:val="20"/>
                <w:szCs w:val="20"/>
              </w:rPr>
              <w:t xml:space="preserve">Approximate length: </w:t>
            </w:r>
            <w:r>
              <w:rPr>
                <w:rFonts w:ascii="Arial" w:cs="Arial" w:eastAsia="Arial" w:hAnsi="Arial"/>
                <w:color w:val="1A1A2E"/>
                <w:sz w:val="20"/>
                <w:szCs w:val="20"/>
              </w:rPr>
              <w:t xml:space="preserve">1,400 words · 7–9 minute read</w:t>
            </w:r>
          </w:p>
          <w:p>
            <w:pPr>
              <w:spacing w:after="0" w:before="0"/>
            </w:pPr>
            <w:r>
              <w:rPr>
                <w:rFonts w:ascii="Arial" w:cs="Arial" w:eastAsia="Arial" w:hAnsi="Arial"/>
                <w:b/>
                <w:bCs/>
                <w:color w:val="B42828"/>
                <w:sz w:val="20"/>
                <w:szCs w:val="20"/>
              </w:rPr>
              <w:t xml:space="preserve">Publisher: </w:t>
            </w:r>
            <w:r>
              <w:rPr>
                <w:rFonts w:ascii="Arial" w:cs="Arial" w:eastAsia="Arial" w:hAnsi="Arial"/>
                <w:color w:val="1A1A2E"/>
                <w:sz w:val="20"/>
                <w:szCs w:val="20"/>
              </w:rPr>
              <w:t xml:space="preserve">Judgment Index Australia (JIAU)  ·  jiau.com.au  ·  © 2026</w:t>
            </w:r>
          </w:p>
        </w:tc>
      </w:tr>
    </w:tbl>
    <w:p>
      <w:pPr>
        <w:spacing w:after="0" w:before="70"/>
      </w:pPr>
    </w:p>
    <w:p>
      <w:pPr>
        <w:pStyle w:val="Heading2"/>
        <w:keepNext/>
        <w:spacing w:after="90" w:before="240"/>
      </w:pPr>
      <w:r>
        <w:rPr>
          <w:rFonts w:ascii="Arial" w:cs="Arial" w:eastAsia="Arial" w:hAnsi="Arial"/>
          <w:b/>
          <w:bCs/>
          <w:color w:val="B42828"/>
          <w:sz w:val="26"/>
          <w:szCs w:val="26"/>
        </w:rPr>
        <w:t xml:space="preserve">The Invisible Risk Portfolio</w:t>
      </w:r>
    </w:p>
    <w:p>
      <w:pPr>
        <w:spacing w:after="65" w:before="65"/>
      </w:pPr>
      <w:r>
        <w:rPr>
          <w:rFonts w:ascii="Arial" w:cs="Arial" w:eastAsia="Arial" w:hAnsi="Arial"/>
          <w:b w:val="false"/>
          <w:bCs w:val="false"/>
          <w:i w:val="false"/>
          <w:iCs w:val="false"/>
          <w:color w:val="1A1A2E"/>
          <w:sz w:val="22"/>
          <w:szCs w:val="22"/>
        </w:rPr>
        <w:t xml:space="preserve">Every Australian board receives a risk register. Credit risk, market risk, operational risk, regulatory risk, reputational risk. These are measured, monitored and reported with increasing sophistication.</w:t>
      </w:r>
    </w:p>
    <w:p>
      <w:pPr>
        <w:spacing w:after="0" w:before="55"/>
      </w:pPr>
    </w:p>
    <w:p>
      <w:pPr>
        <w:spacing w:after="65" w:before="65"/>
      </w:pPr>
      <w:r>
        <w:rPr>
          <w:rFonts w:ascii="Arial" w:cs="Arial" w:eastAsia="Arial" w:hAnsi="Arial"/>
          <w:b w:val="false"/>
          <w:bCs w:val="false"/>
          <w:i w:val="false"/>
          <w:iCs w:val="false"/>
          <w:color w:val="1A1A2E"/>
          <w:sz w:val="22"/>
          <w:szCs w:val="22"/>
        </w:rPr>
        <w:t xml:space="preserve">But there is a category of organisational risk that appears on almost no Australian risk register. It does not have a line item in the audit report. It is not in the WHS incident log. It is not visible in the engagement survey. And yet it is directly responsible for the most expensive organisational failures in Australia - leadership collapse, cultural breakdown, safety incidents, governance failures and the quiet departure of the organisation’s most valuable people.</w:t>
      </w:r>
    </w:p>
    <w:p>
      <w:pPr>
        <w:spacing w:after="0" w:before="55"/>
      </w:pPr>
    </w:p>
    <w:p>
      <w:pPr>
        <w:spacing w:after="65" w:before="65"/>
      </w:pPr>
      <w:r>
        <w:rPr>
          <w:rFonts w:ascii="Arial" w:cs="Arial" w:eastAsia="Arial" w:hAnsi="Arial"/>
          <w:b w:val="false"/>
          <w:bCs w:val="false"/>
          <w:i w:val="false"/>
          <w:iCs w:val="false"/>
          <w:color w:val="1A1A2E"/>
          <w:sz w:val="22"/>
          <w:szCs w:val="22"/>
        </w:rPr>
        <w:t xml:space="preserve">It is human risk. And in its most dangerous form, it is hidden.</w:t>
      </w:r>
    </w:p>
    <w:p>
      <w:pPr>
        <w:spacing w:after="0" w:before="70"/>
      </w:pPr>
    </w:p>
    <w:p>
      <w:pPr>
        <w:pStyle w:val="Heading2"/>
        <w:keepNext/>
        <w:spacing w:after="90" w:before="240"/>
      </w:pPr>
      <w:r>
        <w:rPr>
          <w:rFonts w:ascii="Arial" w:cs="Arial" w:eastAsia="Arial" w:hAnsi="Arial"/>
          <w:b/>
          <w:bCs/>
          <w:color w:val="1B3A6B"/>
          <w:sz w:val="26"/>
          <w:szCs w:val="26"/>
        </w:rPr>
        <w:t xml:space="preserve">The Five Forms of Hidden Human Risk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160"/>
        <w:gridCol w:w="2160"/>
        <w:gridCol w:w="2160"/>
        <w:gridCol w:w="2880"/>
      </w:tblGrid>
      <w:tr>
        <w:tc>
          <w:tcPr>
            <w:tcW w:type="dxa" w:w="2160"/>
            <w:tcBorders>
              <w:top w:val="single" w:color="CCCCCC" w:sz="1"/>
              <w:left w:val="single" w:color="CCCCCC" w:sz="1"/>
              <w:bottom w:val="single" w:color="CCCCCC" w:sz="1"/>
              <w:right w:val="single" w:color="CCCCCC" w:sz="1"/>
            </w:tcBorders>
            <w:shd w:fill="1B3A6B" w:val="clear"/>
            <w:tcMar>
              <w:top w:type="dxa" w:w="85"/>
              <w:left w:type="dxa" w:w="100"/>
              <w:bottom w:type="dxa" w:w="85"/>
              <w:right w:type="dxa" w:w="100"/>
            </w:tcMar>
          </w:tcPr>
          <w:p>
            <w:r>
              <w:rPr>
                <w:rFonts w:ascii="Arial" w:cs="Arial" w:eastAsia="Arial" w:hAnsi="Arial"/>
                <w:b/>
                <w:bCs/>
                <w:color w:val="FFFFFF"/>
                <w:sz w:val="19"/>
                <w:szCs w:val="19"/>
              </w:rPr>
              <w:t xml:space="preserve">Risk Type</w:t>
            </w:r>
          </w:p>
        </w:tc>
        <w:tc>
          <w:tcPr>
            <w:tcW w:type="dxa" w:w="2160"/>
            <w:tcBorders>
              <w:top w:val="single" w:color="CCCCCC" w:sz="1"/>
              <w:left w:val="single" w:color="CCCCCC" w:sz="1"/>
              <w:bottom w:val="single" w:color="CCCCCC" w:sz="1"/>
              <w:right w:val="single" w:color="CCCCCC" w:sz="1"/>
            </w:tcBorders>
            <w:shd w:fill="1B3A6B" w:val="clear"/>
            <w:tcMar>
              <w:top w:type="dxa" w:w="85"/>
              <w:left w:type="dxa" w:w="100"/>
              <w:bottom w:type="dxa" w:w="85"/>
              <w:right w:type="dxa" w:w="100"/>
            </w:tcMar>
          </w:tcPr>
          <w:p>
            <w:r>
              <w:rPr>
                <w:rFonts w:ascii="Arial" w:cs="Arial" w:eastAsia="Arial" w:hAnsi="Arial"/>
                <w:b/>
                <w:bCs/>
                <w:color w:val="FFFFFF"/>
                <w:sz w:val="19"/>
                <w:szCs w:val="19"/>
              </w:rPr>
              <w:t xml:space="preserve">What It Looks Like</w:t>
            </w:r>
          </w:p>
        </w:tc>
        <w:tc>
          <w:tcPr>
            <w:tcW w:type="dxa" w:w="2160"/>
            <w:tcBorders>
              <w:top w:val="single" w:color="CCCCCC" w:sz="1"/>
              <w:left w:val="single" w:color="CCCCCC" w:sz="1"/>
              <w:bottom w:val="single" w:color="CCCCCC" w:sz="1"/>
              <w:right w:val="single" w:color="CCCCCC" w:sz="1"/>
            </w:tcBorders>
            <w:shd w:fill="1B3A6B" w:val="clear"/>
            <w:tcMar>
              <w:top w:type="dxa" w:w="85"/>
              <w:left w:type="dxa" w:w="100"/>
              <w:bottom w:type="dxa" w:w="85"/>
              <w:right w:type="dxa" w:w="100"/>
            </w:tcMar>
          </w:tcPr>
          <w:p>
            <w:r>
              <w:rPr>
                <w:rFonts w:ascii="Arial" w:cs="Arial" w:eastAsia="Arial" w:hAnsi="Arial"/>
                <w:b/>
                <w:bCs/>
                <w:color w:val="FFFFFF"/>
                <w:sz w:val="19"/>
                <w:szCs w:val="19"/>
              </w:rPr>
              <w:t xml:space="preserve">Why It Is Hidden</w:t>
            </w:r>
          </w:p>
        </w:tc>
        <w:tc>
          <w:tcPr>
            <w:tcW w:type="dxa" w:w="2880"/>
            <w:tcBorders>
              <w:top w:val="single" w:color="CCCCCC" w:sz="1"/>
              <w:left w:val="single" w:color="CCCCCC" w:sz="1"/>
              <w:bottom w:val="single" w:color="CCCCCC" w:sz="1"/>
              <w:right w:val="single" w:color="CCCCCC" w:sz="1"/>
            </w:tcBorders>
            <w:shd w:fill="1B3A6B" w:val="clear"/>
            <w:tcMar>
              <w:top w:type="dxa" w:w="85"/>
              <w:left w:type="dxa" w:w="100"/>
              <w:bottom w:type="dxa" w:w="85"/>
              <w:right w:type="dxa" w:w="100"/>
            </w:tcMar>
          </w:tcPr>
          <w:p>
            <w:r>
              <w:rPr>
                <w:rFonts w:ascii="Arial" w:cs="Arial" w:eastAsia="Arial" w:hAnsi="Arial"/>
                <w:b/>
                <w:bCs/>
                <w:color w:val="FFFFFF"/>
                <w:sz w:val="19"/>
                <w:szCs w:val="19"/>
              </w:rPr>
              <w:t xml:space="preserve">What It Costs</w:t>
            </w:r>
          </w:p>
        </w:tc>
      </w:tr>
      <w:tr>
        <w:tc>
          <w:tcPr>
            <w:tcW w:type="dxa" w:w="2160"/>
            <w:tcBorders>
              <w:top w:val="single" w:color="CCCCCC" w:sz="1"/>
              <w:left w:val="single" w:color="CCCCCC" w:sz="1"/>
              <w:bottom w:val="single" w:color="CCCCCC" w:sz="1"/>
              <w:right w:val="single" w:color="CCCCCC" w:sz="1"/>
            </w:tcBorders>
            <w:shd w:fill="E8EDF5" w:val="clear"/>
            <w:tcMar>
              <w:top w:type="dxa" w:w="65"/>
              <w:left w:type="dxa" w:w="100"/>
              <w:bottom w:type="dxa" w:w="65"/>
              <w:right w:type="dxa" w:w="100"/>
            </w:tcMar>
          </w:tcPr>
          <w:p>
            <w:r>
              <w:rPr>
                <w:rFonts w:ascii="Arial" w:cs="Arial" w:eastAsia="Arial" w:hAnsi="Arial"/>
                <w:b/>
                <w:bCs/>
                <w:color w:val="1B3A6B"/>
                <w:sz w:val="19"/>
                <w:szCs w:val="19"/>
              </w:rPr>
              <w:t xml:space="preserve">Burnout Vulnerability</w:t>
            </w:r>
          </w:p>
        </w:tc>
        <w:tc>
          <w:tcPr>
            <w:tcW w:type="dxa" w:w="2160"/>
            <w:tcBorders>
              <w:top w:val="single" w:color="CCCCCC" w:sz="1"/>
              <w:left w:val="single" w:color="CCCCCC" w:sz="1"/>
              <w:bottom w:val="single" w:color="CCCCCC" w:sz="1"/>
              <w:right w:val="single" w:color="CCCCCC" w:sz="1"/>
            </w:tcBorders>
            <w:shd w:fill="EEF2F8" w:val="clear"/>
            <w:tcMar>
              <w:top w:type="dxa" w:w="65"/>
              <w:left w:type="dxa" w:w="100"/>
              <w:bottom w:type="dxa" w:w="65"/>
              <w:right w:type="dxa" w:w="100"/>
            </w:tcMar>
          </w:tcPr>
          <w:p>
            <w:r>
              <w:rPr>
                <w:rFonts w:ascii="Arial" w:cs="Arial" w:eastAsia="Arial" w:hAnsi="Arial"/>
                <w:b w:val="false"/>
                <w:bCs w:val="false"/>
                <w:color w:val="1A1A2E"/>
                <w:sz w:val="19"/>
                <w:szCs w:val="19"/>
              </w:rPr>
              <w:t xml:space="preserve">The leader still delivering results. Still saying they are fine. Still showing up.</w:t>
            </w:r>
          </w:p>
        </w:tc>
        <w:tc>
          <w:tcPr>
            <w:tcW w:type="dxa" w:w="2160"/>
            <w:tcBorders>
              <w:top w:val="single" w:color="CCCCCC" w:sz="1"/>
              <w:left w:val="single" w:color="CCCCCC" w:sz="1"/>
              <w:bottom w:val="single" w:color="CCCCCC" w:sz="1"/>
              <w:right w:val="single" w:color="CCCCCC" w:sz="1"/>
            </w:tcBorders>
            <w:shd w:fill="FFF3DC" w:val="clear"/>
            <w:tcMar>
              <w:top w:type="dxa" w:w="65"/>
              <w:left w:type="dxa" w:w="100"/>
              <w:bottom w:type="dxa" w:w="65"/>
              <w:right w:type="dxa" w:w="100"/>
            </w:tcMar>
          </w:tcPr>
          <w:p>
            <w:r>
              <w:rPr>
                <w:rFonts w:ascii="Arial" w:cs="Arial" w:eastAsia="Arial" w:hAnsi="Arial"/>
                <w:b w:val="false"/>
                <w:bCs w:val="false"/>
                <w:color w:val="1A1A2E"/>
                <w:sz w:val="19"/>
                <w:szCs w:val="19"/>
              </w:rPr>
              <w:t xml:space="preserve">Self-Care scores deteriorate months before performance does. No standard metric detects this.</w:t>
            </w:r>
          </w:p>
        </w:tc>
        <w:tc>
          <w:tcPr>
            <w:tcW w:type="dxa" w:w="2880"/>
            <w:tcBorders>
              <w:top w:val="single" w:color="CCCCCC" w:sz="1"/>
              <w:left w:val="single" w:color="CCCCCC" w:sz="1"/>
              <w:bottom w:val="single" w:color="CCCCCC" w:sz="1"/>
              <w:right w:val="single" w:color="CCCCCC" w:sz="1"/>
            </w:tcBorders>
            <w:shd w:fill="FDECEA" w:val="clear"/>
            <w:tcMar>
              <w:top w:type="dxa" w:w="65"/>
              <w:left w:type="dxa" w:w="100"/>
              <w:bottom w:type="dxa" w:w="65"/>
              <w:right w:type="dxa" w:w="100"/>
            </w:tcMar>
          </w:tcPr>
          <w:p>
            <w:r>
              <w:rPr>
                <w:rFonts w:ascii="Arial" w:cs="Arial" w:eastAsia="Arial" w:hAnsi="Arial"/>
                <w:b w:val="false"/>
                <w:bCs w:val="false"/>
                <w:color w:val="1A1A2E"/>
                <w:sz w:val="19"/>
                <w:szCs w:val="19"/>
              </w:rPr>
              <w:t xml:space="preserve">When they leave: $40,000–$150,000 in replacement cost. Plus team disruption, knowledge loss, client relationship damage.</w:t>
            </w:r>
          </w:p>
        </w:tc>
      </w:tr>
      <w:tr>
        <w:tc>
          <w:tcPr>
            <w:tcW w:type="dxa" w:w="2160"/>
            <w:tcBorders>
              <w:top w:val="single" w:color="CCCCCC" w:sz="1"/>
              <w:left w:val="single" w:color="CCCCCC" w:sz="1"/>
              <w:bottom w:val="single" w:color="CCCCCC" w:sz="1"/>
              <w:right w:val="single" w:color="CCCCCC" w:sz="1"/>
            </w:tcBorders>
            <w:shd w:fill="E8EDF5" w:val="clear"/>
            <w:tcMar>
              <w:top w:type="dxa" w:w="65"/>
              <w:left w:type="dxa" w:w="100"/>
              <w:bottom w:type="dxa" w:w="65"/>
              <w:right w:type="dxa" w:w="100"/>
            </w:tcMar>
          </w:tcPr>
          <w:p>
            <w:r>
              <w:rPr>
                <w:rFonts w:ascii="Arial" w:cs="Arial" w:eastAsia="Arial" w:hAnsi="Arial"/>
                <w:b/>
                <w:bCs/>
                <w:color w:val="1B3A6B"/>
                <w:sz w:val="19"/>
                <w:szCs w:val="19"/>
              </w:rPr>
              <w:t xml:space="preserve">Silence Culture</w:t>
            </w:r>
          </w:p>
        </w:tc>
        <w:tc>
          <w:tcPr>
            <w:tcW w:type="dxa" w:w="2160"/>
            <w:tcBorders>
              <w:top w:val="single" w:color="CCCCCC" w:sz="1"/>
              <w:left w:val="single" w:color="CCCCCC" w:sz="1"/>
              <w:bottom w:val="single" w:color="CCCCCC" w:sz="1"/>
              <w:right w:val="single" w:color="CCCCCC" w:sz="1"/>
            </w:tcBorders>
            <w:shd w:fill="EEF2F8" w:val="clear"/>
            <w:tcMar>
              <w:top w:type="dxa" w:w="65"/>
              <w:left w:type="dxa" w:w="100"/>
              <w:bottom w:type="dxa" w:w="65"/>
              <w:right w:type="dxa" w:w="100"/>
            </w:tcMar>
          </w:tcPr>
          <w:p>
            <w:r>
              <w:rPr>
                <w:rFonts w:ascii="Arial" w:cs="Arial" w:eastAsia="Arial" w:hAnsi="Arial"/>
                <w:b w:val="false"/>
                <w:bCs w:val="false"/>
                <w:color w:val="1A1A2E"/>
                <w:sz w:val="19"/>
                <w:szCs w:val="19"/>
              </w:rPr>
              <w:t xml:space="preserve">The team that never raises concerns. The meeting where everyone agrees.</w:t>
            </w:r>
          </w:p>
        </w:tc>
        <w:tc>
          <w:tcPr>
            <w:tcW w:type="dxa" w:w="2160"/>
            <w:tcBorders>
              <w:top w:val="single" w:color="CCCCCC" w:sz="1"/>
              <w:left w:val="single" w:color="CCCCCC" w:sz="1"/>
              <w:bottom w:val="single" w:color="CCCCCC" w:sz="1"/>
              <w:right w:val="single" w:color="CCCCCC" w:sz="1"/>
            </w:tcBorders>
            <w:shd w:fill="FFF3DC" w:val="clear"/>
            <w:tcMar>
              <w:top w:type="dxa" w:w="65"/>
              <w:left w:type="dxa" w:w="100"/>
              <w:bottom w:type="dxa" w:w="65"/>
              <w:right w:type="dxa" w:w="100"/>
            </w:tcMar>
          </w:tcPr>
          <w:p>
            <w:r>
              <w:rPr>
                <w:rFonts w:ascii="Arial" w:cs="Arial" w:eastAsia="Arial" w:hAnsi="Arial"/>
                <w:b w:val="false"/>
                <w:bCs w:val="false"/>
                <w:color w:val="1A1A2E"/>
                <w:sz w:val="19"/>
                <w:szCs w:val="19"/>
              </w:rPr>
              <w:t xml:space="preserve">Low Assertiveness and Moral Clarity scores predict silence behaviour. Engagement surveys ask people to self-report - creating the same silence they are trying to measure.</w:t>
            </w:r>
          </w:p>
        </w:tc>
        <w:tc>
          <w:tcPr>
            <w:tcW w:type="dxa" w:w="2880"/>
            <w:tcBorders>
              <w:top w:val="single" w:color="CCCCCC" w:sz="1"/>
              <w:left w:val="single" w:color="CCCCCC" w:sz="1"/>
              <w:bottom w:val="single" w:color="CCCCCC" w:sz="1"/>
              <w:right w:val="single" w:color="CCCCCC" w:sz="1"/>
            </w:tcBorders>
            <w:shd w:fill="FDECEA" w:val="clear"/>
            <w:tcMar>
              <w:top w:type="dxa" w:w="65"/>
              <w:left w:type="dxa" w:w="100"/>
              <w:bottom w:type="dxa" w:w="65"/>
              <w:right w:type="dxa" w:w="100"/>
            </w:tcMar>
          </w:tcPr>
          <w:p>
            <w:r>
              <w:rPr>
                <w:rFonts w:ascii="Arial" w:cs="Arial" w:eastAsia="Arial" w:hAnsi="Arial"/>
                <w:b w:val="false"/>
                <w:bCs w:val="false"/>
                <w:color w:val="1A1A2E"/>
                <w:sz w:val="19"/>
                <w:szCs w:val="19"/>
              </w:rPr>
              <w:t xml:space="preserve">One unreported near-miss becomes an incident. One unchallenged bad decision becomes a crisis. One unaddressed ethical drift becomes a governance failure.</w:t>
            </w:r>
          </w:p>
        </w:tc>
      </w:tr>
      <w:tr>
        <w:tc>
          <w:tcPr>
            <w:tcW w:type="dxa" w:w="2160"/>
            <w:tcBorders>
              <w:top w:val="single" w:color="CCCCCC" w:sz="1"/>
              <w:left w:val="single" w:color="CCCCCC" w:sz="1"/>
              <w:bottom w:val="single" w:color="CCCCCC" w:sz="1"/>
              <w:right w:val="single" w:color="CCCCCC" w:sz="1"/>
            </w:tcBorders>
            <w:shd w:fill="E8EDF5" w:val="clear"/>
            <w:tcMar>
              <w:top w:type="dxa" w:w="65"/>
              <w:left w:type="dxa" w:w="100"/>
              <w:bottom w:type="dxa" w:w="65"/>
              <w:right w:type="dxa" w:w="100"/>
            </w:tcMar>
          </w:tcPr>
          <w:p>
            <w:r>
              <w:rPr>
                <w:rFonts w:ascii="Arial" w:cs="Arial" w:eastAsia="Arial" w:hAnsi="Arial"/>
                <w:b/>
                <w:bCs/>
                <w:color w:val="1B3A6B"/>
                <w:sz w:val="19"/>
                <w:szCs w:val="19"/>
              </w:rPr>
              <w:t xml:space="preserve">Values Misalignment</w:t>
            </w:r>
          </w:p>
        </w:tc>
        <w:tc>
          <w:tcPr>
            <w:tcW w:type="dxa" w:w="2160"/>
            <w:tcBorders>
              <w:top w:val="single" w:color="CCCCCC" w:sz="1"/>
              <w:left w:val="single" w:color="CCCCCC" w:sz="1"/>
              <w:bottom w:val="single" w:color="CCCCCC" w:sz="1"/>
              <w:right w:val="single" w:color="CCCCCC" w:sz="1"/>
            </w:tcBorders>
            <w:shd w:fill="EEF2F8" w:val="clear"/>
            <w:tcMar>
              <w:top w:type="dxa" w:w="65"/>
              <w:left w:type="dxa" w:w="100"/>
              <w:bottom w:type="dxa" w:w="65"/>
              <w:right w:type="dxa" w:w="100"/>
            </w:tcMar>
          </w:tcPr>
          <w:p>
            <w:r>
              <w:rPr>
                <w:rFonts w:ascii="Arial" w:cs="Arial" w:eastAsia="Arial" w:hAnsi="Arial"/>
                <w:b w:val="false"/>
                <w:bCs w:val="false"/>
                <w:color w:val="1A1A2E"/>
                <w:sz w:val="19"/>
                <w:szCs w:val="19"/>
              </w:rPr>
              <w:t xml:space="preserve">The leader whose behaviour is increasingly inconsistent. Whose decisions feel off but are hard to name.</w:t>
            </w:r>
          </w:p>
        </w:tc>
        <w:tc>
          <w:tcPr>
            <w:tcW w:type="dxa" w:w="2160"/>
            <w:tcBorders>
              <w:top w:val="single" w:color="CCCCCC" w:sz="1"/>
              <w:left w:val="single" w:color="CCCCCC" w:sz="1"/>
              <w:bottom w:val="single" w:color="CCCCCC" w:sz="1"/>
              <w:right w:val="single" w:color="CCCCCC" w:sz="1"/>
            </w:tcBorders>
            <w:shd w:fill="FFF3DC" w:val="clear"/>
            <w:tcMar>
              <w:top w:type="dxa" w:w="65"/>
              <w:left w:type="dxa" w:w="100"/>
              <w:bottom w:type="dxa" w:w="65"/>
              <w:right w:type="dxa" w:w="100"/>
            </w:tcMar>
          </w:tcPr>
          <w:p>
            <w:r>
              <w:rPr>
                <w:rFonts w:ascii="Arial" w:cs="Arial" w:eastAsia="Arial" w:hAnsi="Arial"/>
                <w:b w:val="false"/>
                <w:bCs w:val="false"/>
                <w:color w:val="1A1A2E"/>
                <w:sz w:val="19"/>
                <w:szCs w:val="19"/>
              </w:rPr>
              <w:t xml:space="preserve">Concept Balance deterioration precedes visible ethical drift by months. By the time it is visible, the damage is done.</w:t>
            </w:r>
          </w:p>
        </w:tc>
        <w:tc>
          <w:tcPr>
            <w:tcW w:type="dxa" w:w="2880"/>
            <w:tcBorders>
              <w:top w:val="single" w:color="CCCCCC" w:sz="1"/>
              <w:left w:val="single" w:color="CCCCCC" w:sz="1"/>
              <w:bottom w:val="single" w:color="CCCCCC" w:sz="1"/>
              <w:right w:val="single" w:color="CCCCCC" w:sz="1"/>
            </w:tcBorders>
            <w:shd w:fill="FDECEA" w:val="clear"/>
            <w:tcMar>
              <w:top w:type="dxa" w:w="65"/>
              <w:left w:type="dxa" w:w="100"/>
              <w:bottom w:type="dxa" w:w="65"/>
              <w:right w:type="dxa" w:w="100"/>
            </w:tcMar>
          </w:tcPr>
          <w:p>
            <w:r>
              <w:rPr>
                <w:rFonts w:ascii="Arial" w:cs="Arial" w:eastAsia="Arial" w:hAnsi="Arial"/>
                <w:b w:val="false"/>
                <w:bCs w:val="false"/>
                <w:color w:val="1A1A2E"/>
                <w:sz w:val="19"/>
                <w:szCs w:val="19"/>
              </w:rPr>
              <w:t xml:space="preserve">WorkCover claims, Fair Work hearings, reputational damage, board liability. All were signalled in advance by JI data.</w:t>
            </w:r>
          </w:p>
        </w:tc>
      </w:tr>
      <w:tr>
        <w:tc>
          <w:tcPr>
            <w:tcW w:type="dxa" w:w="2160"/>
            <w:tcBorders>
              <w:top w:val="single" w:color="CCCCCC" w:sz="1"/>
              <w:left w:val="single" w:color="CCCCCC" w:sz="1"/>
              <w:bottom w:val="single" w:color="CCCCCC" w:sz="1"/>
              <w:right w:val="single" w:color="CCCCCC" w:sz="1"/>
            </w:tcBorders>
            <w:shd w:fill="E8EDF5" w:val="clear"/>
            <w:tcMar>
              <w:top w:type="dxa" w:w="65"/>
              <w:left w:type="dxa" w:w="100"/>
              <w:bottom w:type="dxa" w:w="65"/>
              <w:right w:type="dxa" w:w="100"/>
            </w:tcMar>
          </w:tcPr>
          <w:p>
            <w:r>
              <w:rPr>
                <w:rFonts w:ascii="Arial" w:cs="Arial" w:eastAsia="Arial" w:hAnsi="Arial"/>
                <w:b/>
                <w:bCs/>
                <w:color w:val="1B3A6B"/>
                <w:sz w:val="19"/>
                <w:szCs w:val="19"/>
              </w:rPr>
              <w:t xml:space="preserve">Role-Judgement Mismatch</w:t>
            </w:r>
          </w:p>
        </w:tc>
        <w:tc>
          <w:tcPr>
            <w:tcW w:type="dxa" w:w="2160"/>
            <w:tcBorders>
              <w:top w:val="single" w:color="CCCCCC" w:sz="1"/>
              <w:left w:val="single" w:color="CCCCCC" w:sz="1"/>
              <w:bottom w:val="single" w:color="CCCCCC" w:sz="1"/>
              <w:right w:val="single" w:color="CCCCCC" w:sz="1"/>
            </w:tcBorders>
            <w:shd w:fill="EEF2F8" w:val="clear"/>
            <w:tcMar>
              <w:top w:type="dxa" w:w="65"/>
              <w:left w:type="dxa" w:w="100"/>
              <w:bottom w:type="dxa" w:w="65"/>
              <w:right w:type="dxa" w:w="100"/>
            </w:tcMar>
          </w:tcPr>
          <w:p>
            <w:r>
              <w:rPr>
                <w:rFonts w:ascii="Arial" w:cs="Arial" w:eastAsia="Arial" w:hAnsi="Arial"/>
                <w:b w:val="false"/>
                <w:bCs w:val="false"/>
                <w:color w:val="1A1A2E"/>
                <w:sz w:val="19"/>
                <w:szCs w:val="19"/>
              </w:rPr>
              <w:t xml:space="preserve">The high performer who was promoted and is quietly struggling.</w:t>
            </w:r>
          </w:p>
        </w:tc>
        <w:tc>
          <w:tcPr>
            <w:tcW w:type="dxa" w:w="2160"/>
            <w:tcBorders>
              <w:top w:val="single" w:color="CCCCCC" w:sz="1"/>
              <w:left w:val="single" w:color="CCCCCC" w:sz="1"/>
              <w:bottom w:val="single" w:color="CCCCCC" w:sz="1"/>
              <w:right w:val="single" w:color="CCCCCC" w:sz="1"/>
            </w:tcBorders>
            <w:shd w:fill="FFF3DC" w:val="clear"/>
            <w:tcMar>
              <w:top w:type="dxa" w:w="65"/>
              <w:left w:type="dxa" w:w="100"/>
              <w:bottom w:type="dxa" w:w="65"/>
              <w:right w:type="dxa" w:w="100"/>
            </w:tcMar>
          </w:tcPr>
          <w:p>
            <w:r>
              <w:rPr>
                <w:rFonts w:ascii="Arial" w:cs="Arial" w:eastAsia="Arial" w:hAnsi="Arial"/>
                <w:b w:val="false"/>
                <w:bCs w:val="false"/>
                <w:color w:val="1A1A2E"/>
                <w:sz w:val="19"/>
                <w:szCs w:val="19"/>
              </w:rPr>
              <w:t xml:space="preserve">Role Identity scores reveal misalignment between a person’s value structure and their current role requirements. Promotion decisions rarely include this data.</w:t>
            </w:r>
          </w:p>
        </w:tc>
        <w:tc>
          <w:tcPr>
            <w:tcW w:type="dxa" w:w="2880"/>
            <w:tcBorders>
              <w:top w:val="single" w:color="CCCCCC" w:sz="1"/>
              <w:left w:val="single" w:color="CCCCCC" w:sz="1"/>
              <w:bottom w:val="single" w:color="CCCCCC" w:sz="1"/>
              <w:right w:val="single" w:color="CCCCCC" w:sz="1"/>
            </w:tcBorders>
            <w:shd w:fill="FDECEA" w:val="clear"/>
            <w:tcMar>
              <w:top w:type="dxa" w:w="65"/>
              <w:left w:type="dxa" w:w="100"/>
              <w:bottom w:type="dxa" w:w="65"/>
              <w:right w:type="dxa" w:w="100"/>
            </w:tcMar>
          </w:tcPr>
          <w:p>
            <w:r>
              <w:rPr>
                <w:rFonts w:ascii="Arial" w:cs="Arial" w:eastAsia="Arial" w:hAnsi="Arial"/>
                <w:b w:val="false"/>
                <w:bCs w:val="false"/>
                <w:color w:val="1A1A2E"/>
                <w:sz w:val="19"/>
                <w:szCs w:val="19"/>
              </w:rPr>
              <w:t xml:space="preserve">Eighteen months of underperformance before anyone names it. The cost in team disruption, management time and lost productivity is rarely calculated.</w:t>
            </w:r>
          </w:p>
        </w:tc>
      </w:tr>
      <w:tr>
        <w:tc>
          <w:tcPr>
            <w:tcW w:type="dxa" w:w="2160"/>
            <w:tcBorders>
              <w:top w:val="single" w:color="CCCCCC" w:sz="1"/>
              <w:left w:val="single" w:color="CCCCCC" w:sz="1"/>
              <w:bottom w:val="single" w:color="CCCCCC" w:sz="1"/>
              <w:right w:val="single" w:color="CCCCCC" w:sz="1"/>
            </w:tcBorders>
            <w:shd w:fill="E8EDF5" w:val="clear"/>
            <w:tcMar>
              <w:top w:type="dxa" w:w="65"/>
              <w:left w:type="dxa" w:w="100"/>
              <w:bottom w:type="dxa" w:w="65"/>
              <w:right w:type="dxa" w:w="100"/>
            </w:tcMar>
          </w:tcPr>
          <w:p>
            <w:r>
              <w:rPr>
                <w:rFonts w:ascii="Arial" w:cs="Arial" w:eastAsia="Arial" w:hAnsi="Arial"/>
                <w:b/>
                <w:bCs/>
                <w:color w:val="1B3A6B"/>
                <w:sz w:val="19"/>
                <w:szCs w:val="19"/>
              </w:rPr>
              <w:t xml:space="preserve">Leadership Fragility Under Change</w:t>
            </w:r>
          </w:p>
        </w:tc>
        <w:tc>
          <w:tcPr>
            <w:tcW w:type="dxa" w:w="2160"/>
            <w:tcBorders>
              <w:top w:val="single" w:color="CCCCCC" w:sz="1"/>
              <w:left w:val="single" w:color="CCCCCC" w:sz="1"/>
              <w:bottom w:val="single" w:color="CCCCCC" w:sz="1"/>
              <w:right w:val="single" w:color="CCCCCC" w:sz="1"/>
            </w:tcBorders>
            <w:shd w:fill="EEF2F8" w:val="clear"/>
            <w:tcMar>
              <w:top w:type="dxa" w:w="65"/>
              <w:left w:type="dxa" w:w="100"/>
              <w:bottom w:type="dxa" w:w="65"/>
              <w:right w:type="dxa" w:w="100"/>
            </w:tcMar>
          </w:tcPr>
          <w:p>
            <w:r>
              <w:rPr>
                <w:rFonts w:ascii="Arial" w:cs="Arial" w:eastAsia="Arial" w:hAnsi="Arial"/>
                <w:b w:val="false"/>
                <w:bCs w:val="false"/>
                <w:color w:val="1A1A2E"/>
                <w:sz w:val="19"/>
                <w:szCs w:val="19"/>
              </w:rPr>
              <w:t xml:space="preserve">The leadership team that looks strong in stable conditions and fractures under pressure.</w:t>
            </w:r>
          </w:p>
        </w:tc>
        <w:tc>
          <w:tcPr>
            <w:tcW w:type="dxa" w:w="2160"/>
            <w:tcBorders>
              <w:top w:val="single" w:color="CCCCCC" w:sz="1"/>
              <w:left w:val="single" w:color="CCCCCC" w:sz="1"/>
              <w:bottom w:val="single" w:color="CCCCCC" w:sz="1"/>
              <w:right w:val="single" w:color="CCCCCC" w:sz="1"/>
            </w:tcBorders>
            <w:shd w:fill="FFF3DC" w:val="clear"/>
            <w:tcMar>
              <w:top w:type="dxa" w:w="65"/>
              <w:left w:type="dxa" w:w="100"/>
              <w:bottom w:type="dxa" w:w="65"/>
              <w:right w:type="dxa" w:w="100"/>
            </w:tcMar>
          </w:tcPr>
          <w:p>
            <w:r>
              <w:rPr>
                <w:rFonts w:ascii="Arial" w:cs="Arial" w:eastAsia="Arial" w:hAnsi="Arial"/>
                <w:b w:val="false"/>
                <w:bCs w:val="false"/>
                <w:color w:val="1A1A2E"/>
                <w:sz w:val="19"/>
                <w:szCs w:val="19"/>
              </w:rPr>
              <w:t xml:space="preserve">Stress &amp; Coping scores measure individual fragility. Compatibility data reveals team-level fragility. Neither is visible in performance reviews.</w:t>
            </w:r>
          </w:p>
        </w:tc>
        <w:tc>
          <w:tcPr>
            <w:tcW w:type="dxa" w:w="2880"/>
            <w:tcBorders>
              <w:top w:val="single" w:color="CCCCCC" w:sz="1"/>
              <w:left w:val="single" w:color="CCCCCC" w:sz="1"/>
              <w:bottom w:val="single" w:color="CCCCCC" w:sz="1"/>
              <w:right w:val="single" w:color="CCCCCC" w:sz="1"/>
            </w:tcBorders>
            <w:shd w:fill="FDECEA" w:val="clear"/>
            <w:tcMar>
              <w:top w:type="dxa" w:w="65"/>
              <w:left w:type="dxa" w:w="100"/>
              <w:bottom w:type="dxa" w:w="65"/>
              <w:right w:type="dxa" w:w="100"/>
            </w:tcMar>
          </w:tcPr>
          <w:p>
            <w:r>
              <w:rPr>
                <w:rFonts w:ascii="Arial" w:cs="Arial" w:eastAsia="Arial" w:hAnsi="Arial"/>
                <w:b w:val="false"/>
                <w:bCs w:val="false"/>
                <w:color w:val="1A1A2E"/>
                <w:sz w:val="19"/>
                <w:szCs w:val="19"/>
              </w:rPr>
              <w:t xml:space="preserve">Every restructure, merger or strategic pivot that ‘fails’ is partly a leadership fragility failure. JI identifies which leaders will hold and which will not before the pressure arrives.</w:t>
            </w:r>
          </w:p>
        </w:tc>
      </w:tr>
    </w:tbl>
    <w:p>
      <w:pPr>
        <w:spacing w:after="0" w:before="70"/>
      </w:pPr>
    </w:p>
    <w:p>
      <w:pPr>
        <w:pStyle w:val="Heading2"/>
        <w:keepNext/>
        <w:spacing w:after="90" w:before="240"/>
      </w:pPr>
      <w:r>
        <w:rPr>
          <w:rFonts w:ascii="Arial" w:cs="Arial" w:eastAsia="Arial" w:hAnsi="Arial"/>
          <w:b/>
          <w:bCs/>
          <w:color w:val="0D7A6B"/>
          <w:sz w:val="26"/>
          <w:szCs w:val="26"/>
        </w:rPr>
        <w:t xml:space="preserve">The Australian Data: The Cost of Not Measuring</w:t>
      </w:r>
    </w:p>
    <w:p>
      <w:pPr>
        <w:pStyle w:val="ListParagraph"/>
        <w:keepNext/>
        <w:keepLines/>
        <w:numPr>
          <w:ilvl w:val="0"/>
          <w:numId w:val="2"/>
        </w:numPr>
        <w:spacing w:after="48" w:before="48"/>
      </w:pPr>
      <w:r>
        <w:rPr>
          <w:rFonts w:ascii="Arial" w:cs="Arial" w:eastAsia="Arial" w:hAnsi="Arial"/>
          <w:color w:val="1A1A2E"/>
          <w:sz w:val="22"/>
          <w:szCs w:val="22"/>
        </w:rPr>
        <w:t xml:space="preserve">Safe Work Australia: psychological injury claims average $46,000 per claim and 81 days off work - four times longer than physical injury</w:t>
      </w:r>
    </w:p>
    <w:p>
      <w:pPr>
        <w:pStyle w:val="ListParagraph"/>
        <w:keepNext/>
        <w:keepLines/>
        <w:numPr>
          <w:ilvl w:val="0"/>
          <w:numId w:val="2"/>
        </w:numPr>
        <w:spacing w:after="48" w:before="48"/>
      </w:pPr>
      <w:r>
        <w:rPr>
          <w:rFonts w:ascii="Arial" w:cs="Arial" w:eastAsia="Arial" w:hAnsi="Arial"/>
          <w:color w:val="1A1A2E"/>
          <w:sz w:val="22"/>
          <w:szCs w:val="22"/>
        </w:rPr>
        <w:t xml:space="preserve">AHRI 2025: 60% of Australian leaders report burnout. Average turnover 16%. Most frequent departure reason: excessive workload</w:t>
      </w:r>
    </w:p>
    <w:p>
      <w:pPr>
        <w:pStyle w:val="ListParagraph"/>
        <w:keepNext/>
        <w:keepLines/>
        <w:numPr>
          <w:ilvl w:val="0"/>
          <w:numId w:val="2"/>
        </w:numPr>
        <w:spacing w:after="48" w:before="48"/>
      </w:pPr>
      <w:r>
        <w:rPr>
          <w:rFonts w:ascii="Arial" w:cs="Arial" w:eastAsia="Arial" w:hAnsi="Arial"/>
          <w:color w:val="1A1A2E"/>
          <w:sz w:val="22"/>
          <w:szCs w:val="22"/>
        </w:rPr>
        <w:t xml:space="preserve">Allianz Australia 2026: near-30% rise in psychology workers’ compensation claims between 2021 and 2025</w:t>
      </w:r>
    </w:p>
    <w:p>
      <w:pPr>
        <w:pStyle w:val="ListParagraph"/>
        <w:keepNext/>
        <w:keepLines/>
        <w:numPr>
          <w:ilvl w:val="0"/>
          <w:numId w:val="2"/>
        </w:numPr>
        <w:spacing w:after="48" w:before="48"/>
      </w:pPr>
      <w:r>
        <w:rPr>
          <w:rFonts w:ascii="Arial" w:cs="Arial" w:eastAsia="Arial" w:hAnsi="Arial"/>
          <w:color w:val="1A1A2E"/>
          <w:sz w:val="22"/>
          <w:szCs w:val="22"/>
        </w:rPr>
        <w:t xml:space="preserve">Gartner 2024: Australian employee workplace culture perception dropped to a three-year low in Q4 2024</w:t>
      </w:r>
    </w:p>
    <w:p>
      <w:pPr>
        <w:pStyle w:val="ListParagraph"/>
        <w:keepNext/>
        <w:keepLines/>
        <w:numPr>
          <w:ilvl w:val="0"/>
          <w:numId w:val="2"/>
        </w:numPr>
        <w:spacing w:after="48" w:before="48"/>
      </w:pPr>
      <w:r>
        <w:rPr>
          <w:rFonts w:ascii="Arial" w:cs="Arial" w:eastAsia="Arial" w:hAnsi="Arial"/>
          <w:color w:val="1A1A2E"/>
          <w:sz w:val="22"/>
          <w:szCs w:val="22"/>
        </w:rPr>
        <w:t xml:space="preserve">Pro Bono Australia 2025: 29% of NFP departures driven by burnout - up from 21% the previous year</w:t>
      </w:r>
    </w:p>
    <w:p>
      <w:pPr>
        <w:spacing w:after="0" w:before="55"/>
      </w:pPr>
    </w:p>
    <w:p>
      <w:pPr>
        <w:spacing w:after="65" w:before="65"/>
      </w:pPr>
      <w:r>
        <w:rPr>
          <w:rFonts w:ascii="Arial" w:cs="Arial" w:eastAsia="Arial" w:hAnsi="Arial"/>
          <w:b w:val="false"/>
          <w:bCs w:val="false"/>
          <w:i w:val="false"/>
          <w:iCs w:val="false"/>
          <w:color w:val="1A1A2E"/>
          <w:sz w:val="22"/>
          <w:szCs w:val="22"/>
        </w:rPr>
        <w:t xml:space="preserve">None of these statistics appeared in a risk register before the damage was done. All of them would have been visible in JI data months in advance.</w:t>
      </w:r>
    </w:p>
    <w:p>
      <w:pPr>
        <w:spacing w:after="0" w:before="70"/>
      </w:pPr>
    </w:p>
    <w:p>
      <w:pPr>
        <w:pStyle w:val="Heading2"/>
        <w:keepNext/>
        <w:spacing w:after="90" w:before="240"/>
      </w:pPr>
      <w:r>
        <w:rPr>
          <w:rFonts w:ascii="Arial" w:cs="Arial" w:eastAsia="Arial" w:hAnsi="Arial"/>
          <w:b/>
          <w:bCs/>
          <w:color w:val="147842"/>
          <w:sz w:val="26"/>
          <w:szCs w:val="26"/>
        </w:rPr>
        <w:t xml:space="preserve">What the JI Human Risk Profile Reveals</w:t>
      </w:r>
    </w:p>
    <w:p>
      <w:pPr>
        <w:spacing w:after="65" w:before="65"/>
      </w:pPr>
      <w:r>
        <w:rPr>
          <w:rFonts w:ascii="Arial" w:cs="Arial" w:eastAsia="Arial" w:hAnsi="Arial"/>
          <w:b w:val="false"/>
          <w:bCs w:val="false"/>
          <w:i w:val="false"/>
          <w:iCs w:val="false"/>
          <w:color w:val="1A1A2E"/>
          <w:sz w:val="22"/>
          <w:szCs w:val="22"/>
        </w:rPr>
        <w:t xml:space="preserve">The JIAU Hidden Human Risk assessment is not a wellbeing survey. It is a validated, 30-dimension measurement of the specific human capacities that predict organisational risk - at the individual level, before the risk surfaces.</w:t>
      </w:r>
    </w:p>
    <w:p>
      <w:pPr>
        <w:spacing w:after="0" w:before="55"/>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DECEA" w:val="clear"/>
            <w:tcMar>
              <w:top w:type="dxa" w:w="140"/>
              <w:left w:type="dxa" w:w="180"/>
              <w:bottom w:type="dxa" w:w="140"/>
              <w:right w:type="dxa" w:w="180"/>
            </w:tcMar>
          </w:tcPr>
          <w:p>
            <w:pPr>
              <w:spacing w:after="80" w:before="0"/>
            </w:pPr>
            <w:r>
              <w:rPr>
                <w:rFonts w:ascii="Arial" w:cs="Arial" w:eastAsia="Arial" w:hAnsi="Arial"/>
                <w:b/>
                <w:bCs/>
                <w:color w:val="B42828"/>
                <w:sz w:val="22"/>
                <w:szCs w:val="22"/>
              </w:rPr>
              <w:t xml:space="preserve">What a JIAU Human Risk Profile produces</w:t>
            </w:r>
          </w:p>
          <w:p>
            <w:pPr>
              <w:pStyle w:val="ListParagraph"/>
              <w:keepLines/>
              <w:numPr>
                <w:ilvl w:val="0"/>
                <w:numId w:val="2"/>
              </w:numPr>
              <w:spacing w:after="44" w:before="44"/>
            </w:pPr>
            <w:r>
              <w:rPr>
                <w:rFonts w:ascii="Arial" w:cs="Arial" w:eastAsia="Arial" w:hAnsi="Arial"/>
                <w:color w:val="1A1A2E"/>
                <w:sz w:val="21"/>
                <w:szCs w:val="21"/>
              </w:rPr>
              <w:t xml:space="preserve">A Self-Care sustainability score for every assessed individual - identifying who is operating beyond their sustainable capacity before they resign or collapse</w:t>
            </w:r>
          </w:p>
          <w:p>
            <w:pPr>
              <w:pStyle w:val="ListParagraph"/>
              <w:keepLines/>
              <w:numPr>
                <w:ilvl w:val="0"/>
                <w:numId w:val="2"/>
              </w:numPr>
              <w:spacing w:after="44" w:before="44"/>
            </w:pPr>
            <w:r>
              <w:rPr>
                <w:rFonts w:ascii="Arial" w:cs="Arial" w:eastAsia="Arial" w:hAnsi="Arial"/>
                <w:color w:val="1A1A2E"/>
                <w:sz w:val="21"/>
                <w:szCs w:val="21"/>
              </w:rPr>
              <w:t xml:space="preserve">An Assertiveness profile revealing who will and will not speak up when something is wrong - the silence risk map</w:t>
            </w:r>
          </w:p>
          <w:p>
            <w:pPr>
              <w:pStyle w:val="ListParagraph"/>
              <w:keepLines/>
              <w:numPr>
                <w:ilvl w:val="0"/>
                <w:numId w:val="2"/>
              </w:numPr>
              <w:spacing w:after="44" w:before="44"/>
            </w:pPr>
            <w:r>
              <w:rPr>
                <w:rFonts w:ascii="Arial" w:cs="Arial" w:eastAsia="Arial" w:hAnsi="Arial"/>
                <w:color w:val="1A1A2E"/>
                <w:sz w:val="21"/>
                <w:szCs w:val="21"/>
              </w:rPr>
              <w:t xml:space="preserve">A Moral Clarity and Concept Balance assessment identifying values stability under pressure - the ethical drift early warning system</w:t>
            </w:r>
          </w:p>
          <w:p>
            <w:pPr>
              <w:pStyle w:val="ListParagraph"/>
              <w:keepLines/>
              <w:numPr>
                <w:ilvl w:val="0"/>
                <w:numId w:val="2"/>
              </w:numPr>
              <w:spacing w:after="44" w:before="44"/>
            </w:pPr>
            <w:r>
              <w:rPr>
                <w:rFonts w:ascii="Arial" w:cs="Arial" w:eastAsia="Arial" w:hAnsi="Arial"/>
                <w:color w:val="1A1A2E"/>
                <w:sz w:val="21"/>
                <w:szCs w:val="21"/>
              </w:rPr>
              <w:t xml:space="preserve">A Role Identity analysis showing where there is misalignment between a person’s value structure and their current role requirements</w:t>
            </w:r>
          </w:p>
          <w:p>
            <w:pPr>
              <w:pStyle w:val="ListParagraph"/>
              <w:keepLines/>
              <w:numPr>
                <w:ilvl w:val="0"/>
                <w:numId w:val="2"/>
              </w:numPr>
              <w:spacing w:after="44" w:before="44"/>
            </w:pPr>
            <w:r>
              <w:rPr>
                <w:rFonts w:ascii="Arial" w:cs="Arial" w:eastAsia="Arial" w:hAnsi="Arial"/>
                <w:color w:val="1A1A2E"/>
                <w:sz w:val="21"/>
                <w:szCs w:val="21"/>
              </w:rPr>
              <w:t xml:space="preserve">A Stress and Coping profile (work and personal separately measured) showing individual resilience under the specific pressures the organisation is currently facing</w:t>
            </w:r>
          </w:p>
          <w:p>
            <w:pPr>
              <w:pStyle w:val="ListParagraph"/>
              <w:keepLines/>
              <w:numPr>
                <w:ilvl w:val="0"/>
                <w:numId w:val="2"/>
              </w:numPr>
              <w:spacing w:after="44" w:before="44"/>
            </w:pPr>
            <w:r>
              <w:rPr>
                <w:rFonts w:ascii="Arial" w:cs="Arial" w:eastAsia="Arial" w:hAnsi="Arial"/>
                <w:color w:val="1A1A2E"/>
                <w:sz w:val="21"/>
                <w:szCs w:val="21"/>
              </w:rPr>
              <w:t xml:space="preserve">A Board-ready Human Risk Intelligence Summary presenting all findings in governance language with recommended actions</w:t>
            </w:r>
          </w:p>
        </w:tc>
      </w:tr>
    </w:tbl>
    <w:p>
      <w:pPr>
        <w:spacing w:after="0" w:before="7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EF2F8" w:val="clear"/>
            <w:tcMar>
              <w:top w:type="dxa" w:w="140"/>
              <w:left w:type="dxa" w:w="180"/>
              <w:bottom w:type="dxa" w:w="140"/>
              <w:right w:type="dxa" w:w="180"/>
            </w:tcMar>
          </w:tcPr>
          <w:p>
            <w:pPr>
              <w:spacing w:after="80" w:before="0"/>
            </w:pPr>
            <w:r>
              <w:rPr>
                <w:rFonts w:ascii="Arial" w:cs="Arial" w:eastAsia="Arial" w:hAnsi="Arial"/>
                <w:b/>
                <w:bCs/>
                <w:color w:val="28374F"/>
                <w:sz w:val="22"/>
                <w:szCs w:val="22"/>
              </w:rPr>
              <w:t xml:space="preserve">Key References — White Paper 2</w:t>
            </w:r>
          </w:p>
          <w:p>
            <w:pPr>
              <w:pStyle w:val="ListParagraph"/>
              <w:keepLines/>
              <w:numPr>
                <w:ilvl w:val="0"/>
                <w:numId w:val="2"/>
              </w:numPr>
              <w:spacing w:after="44" w:before="44"/>
            </w:pPr>
            <w:r>
              <w:rPr>
                <w:rFonts w:ascii="Arial" w:cs="Arial" w:eastAsia="Arial" w:hAnsi="Arial"/>
                <w:color w:val="1A1A2E"/>
                <w:sz w:val="21"/>
                <w:szCs w:val="21"/>
              </w:rPr>
              <w:t xml:space="preserve">AICD (2024). Governance Resource Highlights 2024. aicd.com.au</w:t>
            </w:r>
          </w:p>
          <w:p>
            <w:pPr>
              <w:pStyle w:val="ListParagraph"/>
              <w:keepLines/>
              <w:numPr>
                <w:ilvl w:val="0"/>
                <w:numId w:val="2"/>
              </w:numPr>
              <w:spacing w:after="44" w:before="44"/>
            </w:pPr>
            <w:r>
              <w:rPr>
                <w:rFonts w:ascii="Arial" w:cs="Arial" w:eastAsia="Arial" w:hAnsi="Arial"/>
                <w:color w:val="1A1A2E"/>
                <w:sz w:val="21"/>
                <w:szCs w:val="21"/>
              </w:rPr>
              <w:t xml:space="preserve">Safe Work Australia (2024). Key Work Health and Safety Statistics: Australia 2024. safeworkaustralia.gov.au</w:t>
            </w:r>
          </w:p>
          <w:p>
            <w:pPr>
              <w:pStyle w:val="ListParagraph"/>
              <w:keepLines/>
              <w:numPr>
                <w:ilvl w:val="0"/>
                <w:numId w:val="2"/>
              </w:numPr>
              <w:spacing w:after="44" w:before="44"/>
            </w:pPr>
            <w:r>
              <w:rPr>
                <w:rFonts w:ascii="Arial" w:cs="Arial" w:eastAsia="Arial" w:hAnsi="Arial"/>
                <w:color w:val="1A1A2E"/>
                <w:sz w:val="21"/>
                <w:szCs w:val="21"/>
              </w:rPr>
              <w:t xml:space="preserve">Allianz Australia (2026). Workers’ Compensation Trends: Psychological Injury 2021–2025.</w:t>
            </w:r>
          </w:p>
          <w:p>
            <w:pPr>
              <w:pStyle w:val="ListParagraph"/>
              <w:keepLines/>
              <w:numPr>
                <w:ilvl w:val="0"/>
                <w:numId w:val="2"/>
              </w:numPr>
              <w:spacing w:after="44" w:before="44"/>
            </w:pPr>
            <w:r>
              <w:rPr>
                <w:rFonts w:ascii="Arial" w:cs="Arial" w:eastAsia="Arial" w:hAnsi="Arial"/>
                <w:color w:val="1A1A2E"/>
                <w:sz w:val="21"/>
                <w:szCs w:val="21"/>
              </w:rPr>
              <w:t xml:space="preserve">AHRI (2025). Quarterly Australian Work Outlook, September 2025. ahri.com.au</w:t>
            </w:r>
          </w:p>
          <w:p>
            <w:pPr>
              <w:pStyle w:val="ListParagraph"/>
              <w:keepLines/>
              <w:numPr>
                <w:ilvl w:val="0"/>
                <w:numId w:val="2"/>
              </w:numPr>
              <w:spacing w:after="44" w:before="44"/>
            </w:pPr>
            <w:r>
              <w:rPr>
                <w:rFonts w:ascii="Arial" w:cs="Arial" w:eastAsia="Arial" w:hAnsi="Arial"/>
                <w:color w:val="1A1A2E"/>
                <w:sz w:val="21"/>
                <w:szCs w:val="21"/>
              </w:rPr>
              <w:t xml:space="preserve">Maslach, C. &amp; Leiter, M.P. (2022). The Burnout Challenge. Harvard University Press.</w:t>
            </w:r>
          </w:p>
          <w:p>
            <w:pPr>
              <w:pStyle w:val="ListParagraph"/>
              <w:keepLines/>
              <w:numPr>
                <w:ilvl w:val="0"/>
                <w:numId w:val="2"/>
              </w:numPr>
              <w:spacing w:after="44" w:before="44"/>
            </w:pPr>
            <w:r>
              <w:rPr>
                <w:rFonts w:ascii="Arial" w:cs="Arial" w:eastAsia="Arial" w:hAnsi="Arial"/>
                <w:color w:val="1A1A2E"/>
                <w:sz w:val="21"/>
                <w:szCs w:val="21"/>
              </w:rPr>
              <w:t xml:space="preserve">Edmondson, A.C. &amp; Bransby, D.P. (2023). Psychological Safety Comes of Age. Annual Review of Organizational Psychology.</w:t>
            </w:r>
          </w:p>
          <w:p>
            <w:pPr>
              <w:pStyle w:val="ListParagraph"/>
              <w:keepLines/>
              <w:numPr>
                <w:ilvl w:val="0"/>
                <w:numId w:val="2"/>
              </w:numPr>
              <w:spacing w:after="44" w:before="44"/>
            </w:pPr>
            <w:r>
              <w:rPr>
                <w:rFonts w:ascii="Arial" w:cs="Arial" w:eastAsia="Arial" w:hAnsi="Arial"/>
                <w:color w:val="1A1A2E"/>
                <w:sz w:val="21"/>
                <w:szCs w:val="21"/>
              </w:rPr>
              <w:t xml:space="preserve">CIPD / CEBMa (2024). Psychological Safety: An Evidence Review. cipd.org</w:t>
            </w:r>
          </w:p>
          <w:p>
            <w:pPr>
              <w:pStyle w:val="ListParagraph"/>
              <w:keepLines/>
              <w:numPr>
                <w:ilvl w:val="0"/>
                <w:numId w:val="2"/>
              </w:numPr>
              <w:spacing w:after="44" w:before="44"/>
            </w:pPr>
            <w:r>
              <w:rPr>
                <w:rFonts w:ascii="Arial" w:cs="Arial" w:eastAsia="Arial" w:hAnsi="Arial"/>
                <w:color w:val="1A1A2E"/>
                <w:sz w:val="21"/>
                <w:szCs w:val="21"/>
              </w:rPr>
              <w:t xml:space="preserve">Gartner Global Talent Monitor (February 2025). Australian Workplace Culture Data.</w:t>
            </w:r>
          </w:p>
          <w:p>
            <w:pPr>
              <w:pStyle w:val="ListParagraph"/>
              <w:keepLines/>
              <w:numPr>
                <w:ilvl w:val="0"/>
                <w:numId w:val="2"/>
              </w:numPr>
              <w:spacing w:after="44" w:before="44"/>
            </w:pPr>
            <w:r>
              <w:rPr>
                <w:rFonts w:ascii="Arial" w:cs="Arial" w:eastAsia="Arial" w:hAnsi="Arial"/>
                <w:color w:val="1A1A2E"/>
                <w:sz w:val="21"/>
                <w:szCs w:val="21"/>
              </w:rPr>
              <w:t xml:space="preserve">ELMO Software / Safe Work Australia (Q3 2025). Australian Burnout Survey.</w:t>
            </w:r>
          </w:p>
        </w:tc>
      </w:tr>
    </w:tbl>
    <w:p>
      <w:pPr>
        <w:spacing w:after="0" w:before="55"/>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D7A6B" w:sz="1"/>
              <w:left w:val="single" w:color="0D7A6B" w:sz="1"/>
              <w:bottom w:val="single" w:color="0D7A6B" w:sz="1"/>
              <w:right w:val="single" w:color="0D7A6B" w:sz="1"/>
            </w:tcBorders>
            <w:shd w:fill="E6F4F1" w:val="clear"/>
            <w:tcMar>
              <w:top w:type="dxa" w:w="160"/>
              <w:left w:type="dxa" w:w="200"/>
              <w:bottom w:type="dxa" w:w="160"/>
              <w:right w:type="dxa" w:w="200"/>
            </w:tcMar>
          </w:tcPr>
          <w:p>
            <w:pPr>
              <w:spacing w:after="60" w:before="0"/>
            </w:pPr>
            <w:r>
              <w:rPr>
                <w:rFonts w:ascii="Arial" w:cs="Arial" w:eastAsia="Arial" w:hAnsi="Arial"/>
                <w:b/>
                <w:bCs/>
                <w:color w:val="0D7A6B"/>
                <w:sz w:val="22"/>
                <w:szCs w:val="22"/>
              </w:rPr>
              <w:t xml:space="preserve">What to do next</w:t>
            </w:r>
          </w:p>
          <w:p>
            <w:pPr>
              <w:spacing w:after="50" w:before="0"/>
            </w:pPr>
            <w:r>
              <w:rPr>
                <w:rFonts w:ascii="Arial" w:cs="Arial" w:eastAsia="Arial" w:hAnsi="Arial"/>
                <w:color w:val="1A1A2E"/>
                <w:sz w:val="22"/>
                <w:szCs w:val="22"/>
              </w:rPr>
              <w:t xml:space="preserve">The Hidden Human Risk assessment begins with a 30-minute Executive Discovery Conversation. No forms. No obligation. A confidential conversation about where human risk may currently be sitting in your organisation.</w:t>
            </w:r>
          </w:p>
          <w:p>
            <w:pPr>
              <w:spacing w:after="50" w:before="0"/>
            </w:pPr>
            <w:r>
              <w:rPr>
                <w:rFonts w:ascii="Arial" w:cs="Arial" w:eastAsia="Arial" w:hAnsi="Arial"/>
                <w:b/>
                <w:bCs/>
                <w:color w:val="0D7A6B"/>
                <w:sz w:val="22"/>
                <w:szCs w:val="22"/>
              </w:rPr>
              <w:t xml:space="preserve">Book a Hidden Human Risk Discovery Conversation: jiau.com.au/book</w:t>
            </w:r>
          </w:p>
          <w:p>
            <w:pPr>
              <w:spacing w:after="0" w:before="0"/>
            </w:pPr>
            <w:r>
              <w:rPr>
                <w:rFonts w:ascii="Arial" w:cs="Arial" w:eastAsia="Arial" w:hAnsi="Arial"/>
                <w:i/>
                <w:iCs/>
                <w:color w:val="4A5568"/>
                <w:sz w:val="20"/>
                <w:szCs w:val="20"/>
              </w:rPr>
              <w:t xml:space="preserve">Book at: jiau.com.au  ·  Or call: 1300 677 572  ·  Or email: info@jiau.com.au</w:t>
            </w:r>
          </w:p>
        </w:tc>
      </w:tr>
    </w:tbl>
    <w:p>
      <w:r>
        <w:br w:type="page"/>
      </w:r>
    </w:p>
    <w:p>
      <w:pPr>
        <w:pStyle w:val="Heading1"/>
        <w:pageBreakBefore/>
        <w:spacing w:after="110" w:before="0"/>
      </w:pPr>
      <w:r>
        <w:rPr>
          <w:rFonts w:ascii="Arial" w:cs="Arial" w:eastAsia="Arial" w:hAnsi="Arial"/>
          <w:b/>
          <w:bCs/>
          <w:color w:val="1B3A6B"/>
          <w:sz w:val="34"/>
          <w:szCs w:val="34"/>
        </w:rPr>
        <w:t xml:space="preserve">White Paper 3: Burnout Before It Breaks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thick" w:color="B46400" w:sz="12"/>
              <w:left w:val="thick" w:color="B46400" w:sz="12"/>
              <w:bottom w:val="thick" w:color="B46400" w:sz="12"/>
              <w:right w:val="thick" w:color="B46400" w:sz="12"/>
            </w:tcBorders>
            <w:shd w:fill="FFF3DC" w:val="clear"/>
            <w:tcMar>
              <w:top w:type="dxa" w:w="200"/>
              <w:left w:type="dxa" w:w="240"/>
              <w:bottom w:type="dxa" w:w="200"/>
              <w:right w:type="dxa" w:w="240"/>
            </w:tcMar>
          </w:tcPr>
          <w:p>
            <w:pPr>
              <w:spacing w:after="14" w:before="0"/>
            </w:pPr>
            <w:r>
              <w:rPr>
                <w:rFonts w:ascii="Arial" w:cs="Arial" w:eastAsia="Arial" w:hAnsi="Arial"/>
                <w:b/>
                <w:bCs/>
                <w:color w:val="B46400"/>
                <w:sz w:val="18"/>
                <w:szCs w:val="18"/>
              </w:rPr>
              <w:t xml:space="preserve">WHITE PAPER 3 OF 10</w:t>
            </w:r>
          </w:p>
          <w:p>
            <w:pPr>
              <w:spacing w:after="24" w:before="0"/>
            </w:pPr>
            <w:r>
              <w:rPr>
                <w:rFonts w:ascii="Arial" w:cs="Arial" w:eastAsia="Arial" w:hAnsi="Arial"/>
                <w:b/>
                <w:bCs/>
                <w:color w:val="1B3A6B"/>
                <w:sz w:val="32"/>
                <w:szCs w:val="32"/>
              </w:rPr>
              <w:t xml:space="preserve">Burnout Before It Breaks</w:t>
            </w:r>
          </w:p>
          <w:p>
            <w:pPr>
              <w:spacing w:after="40" w:before="0"/>
            </w:pPr>
            <w:r>
              <w:rPr>
                <w:rFonts w:ascii="Arial" w:cs="Arial" w:eastAsia="Arial" w:hAnsi="Arial"/>
                <w:i/>
                <w:iCs/>
                <w:color w:val="4A5568"/>
                <w:sz w:val="22"/>
                <w:szCs w:val="22"/>
              </w:rPr>
              <w:t xml:space="preserve">Measuring Human Sustainability in Australian Workplaces Before the Damage Is Done</w:t>
            </w:r>
          </w:p>
          <w:p>
            <w:pPr>
              <w:pBdr>
                <w:bottom w:val="single" w:color="B46400" w:sz="6" w:space="1"/>
              </w:pBdr>
              <w:spacing w:after="160" w:before="160"/>
            </w:pPr>
          </w:p>
          <w:p>
            <w:pPr>
              <w:spacing w:after="14" w:before="40"/>
            </w:pPr>
            <w:r>
              <w:rPr>
                <w:rFonts w:ascii="Arial" w:cs="Arial" w:eastAsia="Arial" w:hAnsi="Arial"/>
                <w:b/>
                <w:bCs/>
                <w:color w:val="B46400"/>
                <w:sz w:val="20"/>
                <w:szCs w:val="20"/>
              </w:rPr>
              <w:t xml:space="preserve">Primary audience: </w:t>
            </w:r>
            <w:r>
              <w:rPr>
                <w:rFonts w:ascii="Arial" w:cs="Arial" w:eastAsia="Arial" w:hAnsi="Arial"/>
                <w:color w:val="1A1A2E"/>
                <w:sz w:val="20"/>
                <w:szCs w:val="20"/>
              </w:rPr>
              <w:t xml:space="preserve">CHROs, HR Directors, WHS Managers, NFP Executive Directors, Healthcare Leaders</w:t>
            </w:r>
          </w:p>
          <w:p>
            <w:pPr>
              <w:spacing w:after="14" w:before="0"/>
            </w:pPr>
            <w:r>
              <w:rPr>
                <w:rFonts w:ascii="Arial" w:cs="Arial" w:eastAsia="Arial" w:hAnsi="Arial"/>
                <w:b/>
                <w:bCs/>
                <w:color w:val="B46400"/>
                <w:sz w:val="20"/>
                <w:szCs w:val="20"/>
              </w:rPr>
              <w:t xml:space="preserve">Recommended gate: </w:t>
            </w:r>
            <w:r>
              <w:rPr>
                <w:rFonts w:ascii="Arial" w:cs="Arial" w:eastAsia="Arial" w:hAnsi="Arial"/>
                <w:color w:val="1A1A2E"/>
                <w:sz w:val="20"/>
                <w:szCs w:val="20"/>
              </w:rPr>
              <w:t xml:space="preserve">Work email address  ·  First name  ·  Organisation</w:t>
            </w:r>
          </w:p>
          <w:p>
            <w:pPr>
              <w:spacing w:after="14" w:before="0"/>
            </w:pPr>
            <w:r>
              <w:rPr>
                <w:rFonts w:ascii="Arial" w:cs="Arial" w:eastAsia="Arial" w:hAnsi="Arial"/>
                <w:b/>
                <w:bCs/>
                <w:color w:val="B46400"/>
                <w:sz w:val="20"/>
                <w:szCs w:val="20"/>
              </w:rPr>
              <w:t xml:space="preserve">Approximate length: </w:t>
            </w:r>
            <w:r>
              <w:rPr>
                <w:rFonts w:ascii="Arial" w:cs="Arial" w:eastAsia="Arial" w:hAnsi="Arial"/>
                <w:color w:val="1A1A2E"/>
                <w:sz w:val="20"/>
                <w:szCs w:val="20"/>
              </w:rPr>
              <w:t xml:space="preserve">1,300 words · 7 minute read</w:t>
            </w:r>
          </w:p>
          <w:p>
            <w:pPr>
              <w:spacing w:after="0" w:before="0"/>
            </w:pPr>
            <w:r>
              <w:rPr>
                <w:rFonts w:ascii="Arial" w:cs="Arial" w:eastAsia="Arial" w:hAnsi="Arial"/>
                <w:b/>
                <w:bCs/>
                <w:color w:val="B46400"/>
                <w:sz w:val="20"/>
                <w:szCs w:val="20"/>
              </w:rPr>
              <w:t xml:space="preserve">Publisher: </w:t>
            </w:r>
            <w:r>
              <w:rPr>
                <w:rFonts w:ascii="Arial" w:cs="Arial" w:eastAsia="Arial" w:hAnsi="Arial"/>
                <w:color w:val="1A1A2E"/>
                <w:sz w:val="20"/>
                <w:szCs w:val="20"/>
              </w:rPr>
              <w:t xml:space="preserve">Judgment Index Australia (JIAU)  ·  jiau.com.au  ·  © 2026</w:t>
            </w:r>
          </w:p>
        </w:tc>
      </w:tr>
    </w:tbl>
    <w:p>
      <w:pPr>
        <w:spacing w:after="0" w:before="70"/>
      </w:pPr>
    </w:p>
    <w:p>
      <w:pPr>
        <w:pStyle w:val="Heading2"/>
        <w:keepNext/>
        <w:spacing w:after="90" w:before="240"/>
      </w:pPr>
      <w:r>
        <w:rPr>
          <w:rFonts w:ascii="Arial" w:cs="Arial" w:eastAsia="Arial" w:hAnsi="Arial"/>
          <w:b/>
          <w:bCs/>
          <w:color w:val="B46400"/>
          <w:sz w:val="26"/>
          <w:szCs w:val="26"/>
        </w:rPr>
        <w:t xml:space="preserve">The Burnout Paradox</w:t>
      </w:r>
    </w:p>
    <w:p>
      <w:pPr>
        <w:spacing w:after="65" w:before="65"/>
      </w:pPr>
      <w:r>
        <w:rPr>
          <w:rFonts w:ascii="Arial" w:cs="Arial" w:eastAsia="Arial" w:hAnsi="Arial"/>
          <w:b w:val="false"/>
          <w:bCs w:val="false"/>
          <w:i w:val="false"/>
          <w:iCs w:val="false"/>
          <w:color w:val="1A1A2E"/>
          <w:sz w:val="22"/>
          <w:szCs w:val="22"/>
        </w:rPr>
        <w:t xml:space="preserve">Australia has more burnout awareness than at any point in its history. Mental health first aid training is standard in many organisations. EAP programmes are widely available. Wellness initiatives proliferate. And yet the data tells a clear story: burnout rates are not improving.</w:t>
      </w:r>
    </w:p>
    <w:p>
      <w:pPr>
        <w:spacing w:after="0" w:before="55"/>
      </w:pPr>
    </w:p>
    <w:p>
      <w:pPr>
        <w:pStyle w:val="ListParagraph"/>
        <w:keepNext/>
        <w:keepLines/>
        <w:numPr>
          <w:ilvl w:val="0"/>
          <w:numId w:val="2"/>
        </w:numPr>
        <w:spacing w:after="48" w:before="48"/>
      </w:pPr>
      <w:r>
        <w:rPr>
          <w:rFonts w:ascii="Arial" w:cs="Arial" w:eastAsia="Arial" w:hAnsi="Arial"/>
          <w:color w:val="1A1A2E"/>
          <w:sz w:val="22"/>
          <w:szCs w:val="22"/>
        </w:rPr>
        <w:t xml:space="preserve">40% of Australian employees are experiencing burnout (ELMO Software / Safe Work Australia, Q3 2025)</w:t>
      </w:r>
    </w:p>
    <w:p>
      <w:pPr>
        <w:pStyle w:val="ListParagraph"/>
        <w:keepNext/>
        <w:keepLines/>
        <w:numPr>
          <w:ilvl w:val="0"/>
          <w:numId w:val="2"/>
        </w:numPr>
        <w:spacing w:after="48" w:before="48"/>
      </w:pPr>
      <w:r>
        <w:rPr>
          <w:rFonts w:ascii="Arial" w:cs="Arial" w:eastAsia="Arial" w:hAnsi="Arial"/>
          <w:color w:val="1A1A2E"/>
          <w:sz w:val="22"/>
          <w:szCs w:val="22"/>
        </w:rPr>
        <w:t xml:space="preserve">Only 5% are accessing EAP support - a 35-percentage-point gap that reveals the awareness-action failure</w:t>
      </w:r>
    </w:p>
    <w:p>
      <w:pPr>
        <w:pStyle w:val="ListParagraph"/>
        <w:keepNext/>
        <w:keepLines/>
        <w:numPr>
          <w:ilvl w:val="0"/>
          <w:numId w:val="2"/>
        </w:numPr>
        <w:spacing w:after="48" w:before="48"/>
      </w:pPr>
      <w:r>
        <w:rPr>
          <w:rFonts w:ascii="Arial" w:cs="Arial" w:eastAsia="Arial" w:hAnsi="Arial"/>
          <w:color w:val="1A1A2E"/>
          <w:sz w:val="22"/>
          <w:szCs w:val="22"/>
        </w:rPr>
        <w:t xml:space="preserve">60% of Australian leaders report burnout (AHRI / PwC, 2025)</w:t>
      </w:r>
    </w:p>
    <w:p>
      <w:pPr>
        <w:pStyle w:val="ListParagraph"/>
        <w:keepNext/>
        <w:keepLines/>
        <w:numPr>
          <w:ilvl w:val="0"/>
          <w:numId w:val="2"/>
        </w:numPr>
        <w:spacing w:after="48" w:before="48"/>
      </w:pPr>
      <w:r>
        <w:rPr>
          <w:rFonts w:ascii="Arial" w:cs="Arial" w:eastAsia="Arial" w:hAnsi="Arial"/>
          <w:color w:val="1A1A2E"/>
          <w:sz w:val="22"/>
          <w:szCs w:val="22"/>
        </w:rPr>
        <w:t xml:space="preserve">29% of NFP departures in 2025 were burnout-driven - up from 21% the previous year</w:t>
      </w:r>
    </w:p>
    <w:p>
      <w:pPr>
        <w:spacing w:after="0" w:before="55"/>
      </w:pPr>
    </w:p>
    <w:p>
      <w:pPr>
        <w:spacing w:after="65" w:before="65"/>
      </w:pPr>
      <w:r>
        <w:rPr>
          <w:rFonts w:ascii="Arial" w:cs="Arial" w:eastAsia="Arial" w:hAnsi="Arial"/>
          <w:b w:val="false"/>
          <w:bCs w:val="false"/>
          <w:i w:val="false"/>
          <w:iCs w:val="false"/>
          <w:color w:val="1A1A2E"/>
          <w:sz w:val="22"/>
          <w:szCs w:val="22"/>
        </w:rPr>
        <w:t xml:space="preserve">The reason is not that organisations are not trying. It is that they are measuring the wrong thing. They are measuring burnout after it has occurred - through absenteeism data, performance reviews and exit interviews. By the time these indicators move, the damage is already done.</w:t>
      </w:r>
    </w:p>
    <w:p>
      <w:pPr>
        <w:spacing w:after="0" w:before="70"/>
      </w:pPr>
    </w:p>
    <w:p>
      <w:pPr>
        <w:pStyle w:val="Heading2"/>
        <w:keepNext/>
        <w:spacing w:after="90" w:before="240"/>
      </w:pPr>
      <w:r>
        <w:rPr>
          <w:rFonts w:ascii="Arial" w:cs="Arial" w:eastAsia="Arial" w:hAnsi="Arial"/>
          <w:b/>
          <w:bCs/>
          <w:color w:val="0D7A6B"/>
          <w:sz w:val="26"/>
          <w:szCs w:val="26"/>
        </w:rPr>
        <w:t xml:space="preserve">The Self-Care Dimension: The Only Australian Assessment That Measures Burnout Before It Surfaces</w:t>
      </w:r>
    </w:p>
    <w:p>
      <w:pPr>
        <w:spacing w:after="65" w:before="65"/>
      </w:pPr>
      <w:r>
        <w:rPr>
          <w:rFonts w:ascii="Arial" w:cs="Arial" w:eastAsia="Arial" w:hAnsi="Arial"/>
          <w:b w:val="false"/>
          <w:bCs w:val="false"/>
          <w:i w:val="false"/>
          <w:iCs w:val="false"/>
          <w:color w:val="1A1A2E"/>
          <w:sz w:val="22"/>
          <w:szCs w:val="22"/>
        </w:rPr>
        <w:t xml:space="preserve">The Judgment Index includes a dimension called Self-Care, with a validity coefficient (RHO) of .926 - the highest validity score in the instrument. It measures a person’s capacity to sustain themselves under ongoing pressure: their ability to prioritise their own wellbeing, recognise their own limits and maintain their performance capacity over time.</w:t>
      </w:r>
    </w:p>
    <w:p>
      <w:pPr>
        <w:spacing w:after="0" w:before="55"/>
      </w:pPr>
    </w:p>
    <w:p>
      <w:pPr>
        <w:spacing w:after="65" w:before="65"/>
      </w:pPr>
      <w:r>
        <w:rPr>
          <w:rFonts w:ascii="Arial" w:cs="Arial" w:eastAsia="Arial" w:hAnsi="Arial"/>
          <w:b w:val="false"/>
          <w:bCs w:val="false"/>
          <w:i w:val="false"/>
          <w:iCs w:val="false"/>
          <w:color w:val="1A1A2E"/>
          <w:sz w:val="22"/>
          <w:szCs w:val="22"/>
        </w:rPr>
        <w:t xml:space="preserve">A deteriorating Self-Care score is the first measurable indicator of burnout risk. It precedes performance deterioration by months. It precedes absenteeism by longer. And critically, it is not self-reported - it is mathematically derived from the person’s axiological value structure. The person does not have to recognise or admit their burnout risk for the JI to detect it.</w:t>
      </w:r>
    </w:p>
    <w:p>
      <w:pPr>
        <w:spacing w:after="0" w:before="55"/>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
        <w:gridCol w:w="9200"/>
      </w:tblGrid>
      <w:tr>
        <w:tc>
          <w:tcPr>
            <w:tcW w:type="dxa" w:w="160"/>
            <w:tcBorders>
              <w:top w:val="none" w:color="FFFFFF" w:sz="0"/>
              <w:left w:val="none" w:color="FFFFFF" w:sz="0"/>
              <w:bottom w:val="none" w:color="FFFFFF" w:sz="0"/>
              <w:right w:val="none" w:color="FFFFFF" w:sz="0"/>
            </w:tcBorders>
            <w:shd w:fill="B46400" w:val="clear"/>
          </w:tcPr>
          <w:p/>
        </w:tc>
        <w:tc>
          <w:tcPr>
            <w:tcW w:type="dxa" w:w="9200"/>
            <w:tcBorders>
              <w:top w:val="none" w:color="FFFFFF" w:sz="0"/>
              <w:left w:val="none" w:color="FFFFFF" w:sz="0"/>
              <w:bottom w:val="none" w:color="FFFFFF" w:sz="0"/>
              <w:right w:val="none" w:color="FFFFFF" w:sz="0"/>
            </w:tcBorders>
            <w:shd w:fill="FFF3DC" w:val="clear"/>
            <w:tcMar>
              <w:top w:type="dxa" w:w="140"/>
              <w:left w:type="dxa" w:w="200"/>
              <w:bottom w:type="dxa" w:w="140"/>
              <w:right w:type="dxa" w:w="160"/>
            </w:tcMar>
          </w:tcPr>
          <w:p>
            <w:pPr>
              <w:spacing w:after="70" w:before="0"/>
            </w:pPr>
            <w:r>
              <w:rPr>
                <w:rFonts w:ascii="Arial" w:cs="Arial" w:eastAsia="Arial" w:hAnsi="Arial"/>
                <w:i/>
                <w:iCs/>
                <w:color w:val="1A1A2E"/>
                <w:sz w:val="23"/>
                <w:szCs w:val="23"/>
              </w:rPr>
              <w:t xml:space="preserve">“We had a senior leader who was universally regarded as the strongest performer in the executive team. Her JI Self-Care score was critically low. Six months later she resigned. The JI saw it coming. Our performance management system did not.”</w:t>
            </w:r>
          </w:p>
          <w:p>
            <w:r>
              <w:rPr>
                <w:rFonts w:ascii="Arial" w:cs="Arial" w:eastAsia="Arial" w:hAnsi="Arial"/>
                <w:b/>
                <w:bCs/>
                <w:color w:val="B46400"/>
                <w:sz w:val="20"/>
                <w:szCs w:val="20"/>
              </w:rPr>
              <w:t xml:space="preserve">— Composite case reference, JIAU client organisations</w:t>
            </w:r>
          </w:p>
        </w:tc>
      </w:tr>
    </w:tbl>
    <w:p>
      <w:pPr>
        <w:spacing w:after="0" w:before="70"/>
      </w:pPr>
    </w:p>
    <w:p>
      <w:pPr>
        <w:pStyle w:val="Heading2"/>
        <w:keepNext/>
        <w:spacing w:after="90" w:before="240"/>
      </w:pPr>
      <w:r>
        <w:rPr>
          <w:rFonts w:ascii="Arial" w:cs="Arial" w:eastAsia="Arial" w:hAnsi="Arial"/>
          <w:b/>
          <w:bCs/>
          <w:color w:val="B46400"/>
          <w:sz w:val="26"/>
          <w:szCs w:val="26"/>
        </w:rPr>
        <w:t xml:space="preserve">The Wedding Cake Theory: A First Principles Understanding of Burnout</w:t>
      </w:r>
    </w:p>
    <w:p>
      <w:pPr>
        <w:spacing w:after="65" w:before="65"/>
      </w:pPr>
      <w:r>
        <w:rPr>
          <w:rFonts w:ascii="Arial" w:cs="Arial" w:eastAsia="Arial" w:hAnsi="Arial"/>
          <w:b w:val="false"/>
          <w:bCs w:val="false"/>
          <w:i w:val="false"/>
          <w:iCs w:val="false"/>
          <w:color w:val="1A1A2E"/>
          <w:sz w:val="22"/>
          <w:szCs w:val="22"/>
        </w:rPr>
        <w:t xml:space="preserve">The Wedding Cake Theory, which underpins JIAU’s approach to burnout and self-care, draws on research into outstanding managers and leaders. Its central insight is deceptively simple: caring for others begins with caring for oneself. A wedding cake is built from the base upward. A leader who is depleted at the base cannot support what is stacked above.</w:t>
      </w:r>
    </w:p>
    <w:p>
      <w:pPr>
        <w:spacing w:after="0" w:before="55"/>
      </w:pPr>
    </w:p>
    <w:p>
      <w:pPr>
        <w:spacing w:after="65" w:before="65"/>
      </w:pPr>
      <w:r>
        <w:rPr>
          <w:rFonts w:ascii="Arial" w:cs="Arial" w:eastAsia="Arial" w:hAnsi="Arial"/>
          <w:b w:val="false"/>
          <w:bCs w:val="false"/>
          <w:i w:val="false"/>
          <w:iCs w:val="false"/>
          <w:color w:val="1A1A2E"/>
          <w:sz w:val="22"/>
          <w:szCs w:val="22"/>
        </w:rPr>
        <w:t xml:space="preserve">Most burnout prevention programmes focus on the top of the cake - the skills, the strategies, the coping techniques. The JI Self-Care dimension measures the base. It tells you whether the foundation is solid before the weight is applied.</w:t>
      </w:r>
    </w:p>
    <w:p>
      <w:pPr>
        <w:spacing w:after="0" w:before="70"/>
      </w:pPr>
    </w:p>
    <w:p>
      <w:pPr>
        <w:pStyle w:val="Heading2"/>
        <w:keepNext/>
        <w:spacing w:after="90" w:before="240"/>
      </w:pPr>
      <w:r>
        <w:rPr>
          <w:rFonts w:ascii="Arial" w:cs="Arial" w:eastAsia="Arial" w:hAnsi="Arial"/>
          <w:b/>
          <w:bCs/>
          <w:color w:val="147842"/>
          <w:sz w:val="26"/>
          <w:szCs w:val="26"/>
        </w:rPr>
        <w:t xml:space="preserve">Human Sustainability: The Language Australian Organisations Need</w:t>
      </w:r>
    </w:p>
    <w:p>
      <w:pPr>
        <w:spacing w:after="65" w:before="65"/>
      </w:pPr>
      <w:r>
        <w:rPr>
          <w:rFonts w:ascii="Arial" w:cs="Arial" w:eastAsia="Arial" w:hAnsi="Arial"/>
          <w:b w:val="false"/>
          <w:bCs w:val="false"/>
          <w:i w:val="false"/>
          <w:iCs w:val="false"/>
          <w:color w:val="1A1A2E"/>
          <w:sz w:val="22"/>
          <w:szCs w:val="22"/>
        </w:rPr>
        <w:t xml:space="preserve">The word ‘burnout’ carries stigma in many Australian workplace cultures, particularly in leadership teams and high-performance environments. The language of human sustainability is more useful, more accurate and more actionable.</w:t>
      </w:r>
    </w:p>
    <w:p>
      <w:pPr>
        <w:spacing w:after="0" w:before="55"/>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8F5EE" w:val="clear"/>
            <w:tcMar>
              <w:top w:type="dxa" w:w="140"/>
              <w:left w:type="dxa" w:w="180"/>
              <w:bottom w:type="dxa" w:w="140"/>
              <w:right w:type="dxa" w:w="180"/>
            </w:tcMar>
          </w:tcPr>
          <w:p>
            <w:pPr>
              <w:spacing w:after="80" w:before="0"/>
            </w:pPr>
            <w:r>
              <w:rPr>
                <w:rFonts w:ascii="Arial" w:cs="Arial" w:eastAsia="Arial" w:hAnsi="Arial"/>
                <w:b/>
                <w:bCs/>
                <w:color w:val="147842"/>
                <w:sz w:val="22"/>
                <w:szCs w:val="22"/>
              </w:rPr>
              <w:t xml:space="preserve">What human sustainability measurement enables</w:t>
            </w:r>
          </w:p>
          <w:p>
            <w:pPr>
              <w:pStyle w:val="ListParagraph"/>
              <w:keepLines/>
              <w:numPr>
                <w:ilvl w:val="0"/>
                <w:numId w:val="2"/>
              </w:numPr>
              <w:spacing w:after="44" w:before="44"/>
            </w:pPr>
            <w:r>
              <w:rPr>
                <w:rFonts w:ascii="Arial" w:cs="Arial" w:eastAsia="Arial" w:hAnsi="Arial"/>
                <w:color w:val="1A1A2E"/>
                <w:sz w:val="21"/>
                <w:szCs w:val="21"/>
              </w:rPr>
              <w:t xml:space="preserve">Identifying which leaders are approaching their sustainable capacity limit before they reach it</w:t>
            </w:r>
          </w:p>
          <w:p>
            <w:pPr>
              <w:pStyle w:val="ListParagraph"/>
              <w:keepLines/>
              <w:numPr>
                <w:ilvl w:val="0"/>
                <w:numId w:val="2"/>
              </w:numPr>
              <w:spacing w:after="44" w:before="44"/>
            </w:pPr>
            <w:r>
              <w:rPr>
                <w:rFonts w:ascii="Arial" w:cs="Arial" w:eastAsia="Arial" w:hAnsi="Arial"/>
                <w:color w:val="1A1A2E"/>
                <w:sz w:val="21"/>
                <w:szCs w:val="21"/>
              </w:rPr>
              <w:t xml:space="preserve">Designing role loads and team structures that distribute pressure according to measured capacity rather than assumed resilience</w:t>
            </w:r>
          </w:p>
          <w:p>
            <w:pPr>
              <w:pStyle w:val="ListParagraph"/>
              <w:keepLines/>
              <w:numPr>
                <w:ilvl w:val="0"/>
                <w:numId w:val="2"/>
              </w:numPr>
              <w:spacing w:after="44" w:before="44"/>
            </w:pPr>
            <w:r>
              <w:rPr>
                <w:rFonts w:ascii="Arial" w:cs="Arial" w:eastAsia="Arial" w:hAnsi="Arial"/>
                <w:color w:val="1A1A2E"/>
                <w:sz w:val="21"/>
                <w:szCs w:val="21"/>
              </w:rPr>
              <w:t xml:space="preserve">Creating development pathways that build Self-Care capacity as a leadership skill, not just a personal responsibility</w:t>
            </w:r>
          </w:p>
          <w:p>
            <w:pPr>
              <w:pStyle w:val="ListParagraph"/>
              <w:keepLines/>
              <w:numPr>
                <w:ilvl w:val="0"/>
                <w:numId w:val="2"/>
              </w:numPr>
              <w:spacing w:after="44" w:before="44"/>
            </w:pPr>
            <w:r>
              <w:rPr>
                <w:rFonts w:ascii="Arial" w:cs="Arial" w:eastAsia="Arial" w:hAnsi="Arial"/>
                <w:color w:val="1A1A2E"/>
                <w:sz w:val="21"/>
                <w:szCs w:val="21"/>
              </w:rPr>
              <w:t xml:space="preserve">Producing board-level sustainability reporting that demonstrates proactive psychosocial risk management under Australian WHS obligations</w:t>
            </w:r>
          </w:p>
          <w:p>
            <w:pPr>
              <w:pStyle w:val="ListParagraph"/>
              <w:keepLines/>
              <w:numPr>
                <w:ilvl w:val="0"/>
                <w:numId w:val="2"/>
              </w:numPr>
              <w:spacing w:after="44" w:before="44"/>
            </w:pPr>
            <w:r>
              <w:rPr>
                <w:rFonts w:ascii="Arial" w:cs="Arial" w:eastAsia="Arial" w:hAnsi="Arial"/>
                <w:color w:val="1A1A2E"/>
                <w:sz w:val="21"/>
                <w:szCs w:val="21"/>
              </w:rPr>
              <w:t xml:space="preserve">Giving coaches and HR leaders an objective foundation for sustainability conversations that removes the stigma from the discussion</w:t>
            </w:r>
          </w:p>
        </w:tc>
      </w:tr>
    </w:tbl>
    <w:p>
      <w:pPr>
        <w:spacing w:after="0" w:before="7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EF2F8" w:val="clear"/>
            <w:tcMar>
              <w:top w:type="dxa" w:w="140"/>
              <w:left w:type="dxa" w:w="180"/>
              <w:bottom w:type="dxa" w:w="140"/>
              <w:right w:type="dxa" w:w="180"/>
            </w:tcMar>
          </w:tcPr>
          <w:p>
            <w:pPr>
              <w:spacing w:after="80" w:before="0"/>
            </w:pPr>
            <w:r>
              <w:rPr>
                <w:rFonts w:ascii="Arial" w:cs="Arial" w:eastAsia="Arial" w:hAnsi="Arial"/>
                <w:b/>
                <w:bCs/>
                <w:color w:val="28374F"/>
                <w:sz w:val="22"/>
                <w:szCs w:val="22"/>
              </w:rPr>
              <w:t xml:space="preserve">Key References — White Paper 3</w:t>
            </w:r>
          </w:p>
          <w:p>
            <w:pPr>
              <w:pStyle w:val="ListParagraph"/>
              <w:keepLines/>
              <w:numPr>
                <w:ilvl w:val="0"/>
                <w:numId w:val="2"/>
              </w:numPr>
              <w:spacing w:after="44" w:before="44"/>
            </w:pPr>
            <w:r>
              <w:rPr>
                <w:rFonts w:ascii="Arial" w:cs="Arial" w:eastAsia="Arial" w:hAnsi="Arial"/>
                <w:color w:val="1A1A2E"/>
                <w:sz w:val="21"/>
                <w:szCs w:val="21"/>
              </w:rPr>
              <w:t xml:space="preserve">Maslach, C. (1976). Burnout. Human Behavior, 5(9), 16–22. [Foundational research]</w:t>
            </w:r>
          </w:p>
          <w:p>
            <w:pPr>
              <w:pStyle w:val="ListParagraph"/>
              <w:keepLines/>
              <w:numPr>
                <w:ilvl w:val="0"/>
                <w:numId w:val="2"/>
              </w:numPr>
              <w:spacing w:after="44" w:before="44"/>
            </w:pPr>
            <w:r>
              <w:rPr>
                <w:rFonts w:ascii="Arial" w:cs="Arial" w:eastAsia="Arial" w:hAnsi="Arial"/>
                <w:color w:val="1A1A2E"/>
                <w:sz w:val="21"/>
                <w:szCs w:val="21"/>
              </w:rPr>
              <w:t xml:space="preserve">Maslach, C. &amp; Leiter, M.P. (2022). The Burnout Challenge. Harvard University Press.</w:t>
            </w:r>
          </w:p>
          <w:p>
            <w:pPr>
              <w:pStyle w:val="ListParagraph"/>
              <w:keepLines/>
              <w:numPr>
                <w:ilvl w:val="0"/>
                <w:numId w:val="2"/>
              </w:numPr>
              <w:spacing w:after="44" w:before="44"/>
            </w:pPr>
            <w:r>
              <w:rPr>
                <w:rFonts w:ascii="Arial" w:cs="Arial" w:eastAsia="Arial" w:hAnsi="Arial"/>
                <w:color w:val="1A1A2E"/>
                <w:sz w:val="21"/>
                <w:szCs w:val="21"/>
              </w:rPr>
              <w:t xml:space="preserve">National Academies of Sciences (2025). Breaking the Burnout Cycle. National Academies Press. ncbi.nlm.nih.gov/books/NBK614517</w:t>
            </w:r>
          </w:p>
          <w:p>
            <w:pPr>
              <w:pStyle w:val="ListParagraph"/>
              <w:keepLines/>
              <w:numPr>
                <w:ilvl w:val="0"/>
                <w:numId w:val="2"/>
              </w:numPr>
              <w:spacing w:after="44" w:before="44"/>
            </w:pPr>
            <w:r>
              <w:rPr>
                <w:rFonts w:ascii="Arial" w:cs="Arial" w:eastAsia="Arial" w:hAnsi="Arial"/>
                <w:color w:val="1A1A2E"/>
                <w:sz w:val="21"/>
                <w:szCs w:val="21"/>
              </w:rPr>
              <w:t xml:space="preserve">World Health Organisation (2024). ICD-11: Burnout Classification (QD85). icd.who.int</w:t>
            </w:r>
          </w:p>
          <w:p>
            <w:pPr>
              <w:pStyle w:val="ListParagraph"/>
              <w:keepLines/>
              <w:numPr>
                <w:ilvl w:val="0"/>
                <w:numId w:val="2"/>
              </w:numPr>
              <w:spacing w:after="44" w:before="44"/>
            </w:pPr>
            <w:r>
              <w:rPr>
                <w:rFonts w:ascii="Arial" w:cs="Arial" w:eastAsia="Arial" w:hAnsi="Arial"/>
                <w:color w:val="1A1A2E"/>
                <w:sz w:val="21"/>
                <w:szCs w:val="21"/>
              </w:rPr>
              <w:t xml:space="preserve">Bianchi, R. et al. (2024). Burnout: Fifty Years Later. PMC11323411.</w:t>
            </w:r>
          </w:p>
          <w:p>
            <w:pPr>
              <w:pStyle w:val="ListParagraph"/>
              <w:keepLines/>
              <w:numPr>
                <w:ilvl w:val="0"/>
                <w:numId w:val="2"/>
              </w:numPr>
              <w:spacing w:after="44" w:before="44"/>
            </w:pPr>
            <w:r>
              <w:rPr>
                <w:rFonts w:ascii="Arial" w:cs="Arial" w:eastAsia="Arial" w:hAnsi="Arial"/>
                <w:color w:val="1A1A2E"/>
                <w:sz w:val="21"/>
                <w:szCs w:val="21"/>
              </w:rPr>
              <w:t xml:space="preserve">ELMO Software / Safe Work Australia (Q3 2025). Australian Burnout and EAP Access Survey.</w:t>
            </w:r>
          </w:p>
          <w:p>
            <w:pPr>
              <w:pStyle w:val="ListParagraph"/>
              <w:keepLines/>
              <w:numPr>
                <w:ilvl w:val="0"/>
                <w:numId w:val="2"/>
              </w:numPr>
              <w:spacing w:after="44" w:before="44"/>
            </w:pPr>
            <w:r>
              <w:rPr>
                <w:rFonts w:ascii="Arial" w:cs="Arial" w:eastAsia="Arial" w:hAnsi="Arial"/>
                <w:color w:val="1A1A2E"/>
                <w:sz w:val="21"/>
                <w:szCs w:val="21"/>
              </w:rPr>
              <w:t xml:space="preserve">AHRI / PwC (2025). Australian Leadership Burnout Report.</w:t>
            </w:r>
          </w:p>
          <w:p>
            <w:pPr>
              <w:pStyle w:val="ListParagraph"/>
              <w:keepLines/>
              <w:numPr>
                <w:ilvl w:val="0"/>
                <w:numId w:val="2"/>
              </w:numPr>
              <w:spacing w:after="44" w:before="44"/>
            </w:pPr>
            <w:r>
              <w:rPr>
                <w:rFonts w:ascii="Arial" w:cs="Arial" w:eastAsia="Arial" w:hAnsi="Arial"/>
                <w:color w:val="1A1A2E"/>
                <w:sz w:val="21"/>
                <w:szCs w:val="21"/>
              </w:rPr>
              <w:t xml:space="preserve">Pro Bono Australia Salary Survey (2025). probonoaustralia.com.au</w:t>
            </w:r>
          </w:p>
          <w:p>
            <w:pPr>
              <w:pStyle w:val="ListParagraph"/>
              <w:keepLines/>
              <w:numPr>
                <w:ilvl w:val="0"/>
                <w:numId w:val="2"/>
              </w:numPr>
              <w:spacing w:after="44" w:before="44"/>
            </w:pPr>
            <w:r>
              <w:rPr>
                <w:rFonts w:ascii="Arial" w:cs="Arial" w:eastAsia="Arial" w:hAnsi="Arial"/>
                <w:color w:val="1A1A2E"/>
                <w:sz w:val="21"/>
                <w:szCs w:val="21"/>
              </w:rPr>
              <w:t xml:space="preserve">Safe Work Australia: Code of Practice on Managing Psychosocial Hazards (2022).</w:t>
            </w:r>
          </w:p>
        </w:tc>
      </w:tr>
    </w:tbl>
    <w:p>
      <w:pPr>
        <w:spacing w:after="0" w:before="55"/>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D7A6B" w:sz="1"/>
              <w:left w:val="single" w:color="0D7A6B" w:sz="1"/>
              <w:bottom w:val="single" w:color="0D7A6B" w:sz="1"/>
              <w:right w:val="single" w:color="0D7A6B" w:sz="1"/>
            </w:tcBorders>
            <w:shd w:fill="E6F4F1" w:val="clear"/>
            <w:tcMar>
              <w:top w:type="dxa" w:w="160"/>
              <w:left w:type="dxa" w:w="200"/>
              <w:bottom w:type="dxa" w:w="160"/>
              <w:right w:type="dxa" w:w="200"/>
            </w:tcMar>
          </w:tcPr>
          <w:p>
            <w:pPr>
              <w:spacing w:after="60" w:before="0"/>
            </w:pPr>
            <w:r>
              <w:rPr>
                <w:rFonts w:ascii="Arial" w:cs="Arial" w:eastAsia="Arial" w:hAnsi="Arial"/>
                <w:b/>
                <w:bCs/>
                <w:color w:val="0D7A6B"/>
                <w:sz w:val="22"/>
                <w:szCs w:val="22"/>
              </w:rPr>
              <w:t xml:space="preserve">What to do next</w:t>
            </w:r>
          </w:p>
          <w:p>
            <w:pPr>
              <w:spacing w:after="50" w:before="0"/>
            </w:pPr>
            <w:r>
              <w:rPr>
                <w:rFonts w:ascii="Arial" w:cs="Arial" w:eastAsia="Arial" w:hAnsi="Arial"/>
                <w:color w:val="1A1A2E"/>
                <w:sz w:val="22"/>
                <w:szCs w:val="22"/>
              </w:rPr>
              <w:t xml:space="preserve">A JIAU Human Sustainability Assessment can be completed by your leadership team in 20 minutes and produces individual sustainability profiles within 48 hours. The conversation about where the risk is sitting can happen before anyone reaches their limit.</w:t>
            </w:r>
          </w:p>
          <w:p>
            <w:pPr>
              <w:spacing w:after="50" w:before="0"/>
            </w:pPr>
            <w:r>
              <w:rPr>
                <w:rFonts w:ascii="Arial" w:cs="Arial" w:eastAsia="Arial" w:hAnsi="Arial"/>
                <w:b/>
                <w:bCs/>
                <w:color w:val="0D7A6B"/>
                <w:sz w:val="22"/>
                <w:szCs w:val="22"/>
              </w:rPr>
              <w:t xml:space="preserve">Book a Human Sustainability Discovery Conversation: jiau.com.au/book</w:t>
            </w:r>
          </w:p>
          <w:p>
            <w:pPr>
              <w:spacing w:after="0" w:before="0"/>
            </w:pPr>
            <w:r>
              <w:rPr>
                <w:rFonts w:ascii="Arial" w:cs="Arial" w:eastAsia="Arial" w:hAnsi="Arial"/>
                <w:i/>
                <w:iCs/>
                <w:color w:val="4A5568"/>
                <w:sz w:val="20"/>
                <w:szCs w:val="20"/>
              </w:rPr>
              <w:t xml:space="preserve">Book at: jiau.com.au  ·  Or call: 1300 677 572  ·  Or email: info@jiau.com.au</w:t>
            </w:r>
          </w:p>
        </w:tc>
      </w:tr>
    </w:tbl>
    <w:p>
      <w:r>
        <w:br w:type="page"/>
      </w:r>
    </w:p>
    <w:p>
      <w:pPr>
        <w:pStyle w:val="Heading1"/>
        <w:pageBreakBefore/>
        <w:spacing w:after="110" w:before="0"/>
      </w:pPr>
      <w:r>
        <w:rPr>
          <w:rFonts w:ascii="Arial" w:cs="Arial" w:eastAsia="Arial" w:hAnsi="Arial"/>
          <w:b/>
          <w:bCs/>
          <w:color w:val="1B3A6B"/>
          <w:sz w:val="34"/>
          <w:szCs w:val="34"/>
        </w:rPr>
        <w:t xml:space="preserve">White Paper 4: Psychological Safety Is Not Enough</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thick" w:color="0D7A6B" w:sz="12"/>
              <w:left w:val="thick" w:color="0D7A6B" w:sz="12"/>
              <w:bottom w:val="thick" w:color="0D7A6B" w:sz="12"/>
              <w:right w:val="thick" w:color="0D7A6B" w:sz="12"/>
            </w:tcBorders>
            <w:shd w:fill="E6F4F1" w:val="clear"/>
            <w:tcMar>
              <w:top w:type="dxa" w:w="200"/>
              <w:left w:type="dxa" w:w="240"/>
              <w:bottom w:type="dxa" w:w="200"/>
              <w:right w:type="dxa" w:w="240"/>
            </w:tcMar>
          </w:tcPr>
          <w:p>
            <w:pPr>
              <w:spacing w:after="14" w:before="0"/>
            </w:pPr>
            <w:r>
              <w:rPr>
                <w:rFonts w:ascii="Arial" w:cs="Arial" w:eastAsia="Arial" w:hAnsi="Arial"/>
                <w:b/>
                <w:bCs/>
                <w:color w:val="0D7A6B"/>
                <w:sz w:val="18"/>
                <w:szCs w:val="18"/>
              </w:rPr>
              <w:t xml:space="preserve">WHITE PAPER 4 OF 10</w:t>
            </w:r>
          </w:p>
          <w:p>
            <w:pPr>
              <w:spacing w:after="24" w:before="0"/>
            </w:pPr>
            <w:r>
              <w:rPr>
                <w:rFonts w:ascii="Arial" w:cs="Arial" w:eastAsia="Arial" w:hAnsi="Arial"/>
                <w:b/>
                <w:bCs/>
                <w:color w:val="1B3A6B"/>
                <w:sz w:val="32"/>
                <w:szCs w:val="32"/>
              </w:rPr>
              <w:t xml:space="preserve">Psychological Safety Is Not Enough</w:t>
            </w:r>
          </w:p>
          <w:p>
            <w:pPr>
              <w:spacing w:after="40" w:before="0"/>
            </w:pPr>
            <w:r>
              <w:rPr>
                <w:rFonts w:ascii="Arial" w:cs="Arial" w:eastAsia="Arial" w:hAnsi="Arial"/>
                <w:i/>
                <w:iCs/>
                <w:color w:val="4A5568"/>
                <w:sz w:val="22"/>
                <w:szCs w:val="22"/>
              </w:rPr>
              <w:t xml:space="preserve">The Missing Measurement Layer That Determines Whether People Actually Speak Up</w:t>
            </w:r>
          </w:p>
          <w:p>
            <w:pPr>
              <w:pBdr>
                <w:bottom w:val="single" w:color="0D7A6B" w:sz="6" w:space="1"/>
              </w:pBdr>
              <w:spacing w:after="160" w:before="160"/>
            </w:pPr>
          </w:p>
          <w:p>
            <w:pPr>
              <w:spacing w:after="14" w:before="40"/>
            </w:pPr>
            <w:r>
              <w:rPr>
                <w:rFonts w:ascii="Arial" w:cs="Arial" w:eastAsia="Arial" w:hAnsi="Arial"/>
                <w:b/>
                <w:bCs/>
                <w:color w:val="0D7A6B"/>
                <w:sz w:val="20"/>
                <w:szCs w:val="20"/>
              </w:rPr>
              <w:t xml:space="preserve">Primary audience: </w:t>
            </w:r>
            <w:r>
              <w:rPr>
                <w:rFonts w:ascii="Arial" w:cs="Arial" w:eastAsia="Arial" w:hAnsi="Arial"/>
                <w:color w:val="1A1A2E"/>
                <w:sz w:val="20"/>
                <w:szCs w:val="20"/>
              </w:rPr>
              <w:t xml:space="preserve">HR Directors, OD Professionals, Government HR, Education, Healthcare</w:t>
            </w:r>
          </w:p>
          <w:p>
            <w:pPr>
              <w:spacing w:after="14" w:before="0"/>
            </w:pPr>
            <w:r>
              <w:rPr>
                <w:rFonts w:ascii="Arial" w:cs="Arial" w:eastAsia="Arial" w:hAnsi="Arial"/>
                <w:b/>
                <w:bCs/>
                <w:color w:val="0D7A6B"/>
                <w:sz w:val="20"/>
                <w:szCs w:val="20"/>
              </w:rPr>
              <w:t xml:space="preserve">Recommended gate: </w:t>
            </w:r>
            <w:r>
              <w:rPr>
                <w:rFonts w:ascii="Arial" w:cs="Arial" w:eastAsia="Arial" w:hAnsi="Arial"/>
                <w:color w:val="1A1A2E"/>
                <w:sz w:val="20"/>
                <w:szCs w:val="20"/>
              </w:rPr>
              <w:t xml:space="preserve">Work email address  ·  First name  ·  Organisation</w:t>
            </w:r>
          </w:p>
          <w:p>
            <w:pPr>
              <w:spacing w:after="14" w:before="0"/>
            </w:pPr>
            <w:r>
              <w:rPr>
                <w:rFonts w:ascii="Arial" w:cs="Arial" w:eastAsia="Arial" w:hAnsi="Arial"/>
                <w:b/>
                <w:bCs/>
                <w:color w:val="0D7A6B"/>
                <w:sz w:val="20"/>
                <w:szCs w:val="20"/>
              </w:rPr>
              <w:t xml:space="preserve">Approximate length: </w:t>
            </w:r>
            <w:r>
              <w:rPr>
                <w:rFonts w:ascii="Arial" w:cs="Arial" w:eastAsia="Arial" w:hAnsi="Arial"/>
                <w:color w:val="1A1A2E"/>
                <w:sz w:val="20"/>
                <w:szCs w:val="20"/>
              </w:rPr>
              <w:t xml:space="preserve">1,200 words · 6 minute read</w:t>
            </w:r>
          </w:p>
          <w:p>
            <w:pPr>
              <w:spacing w:after="0" w:before="0"/>
            </w:pPr>
            <w:r>
              <w:rPr>
                <w:rFonts w:ascii="Arial" w:cs="Arial" w:eastAsia="Arial" w:hAnsi="Arial"/>
                <w:b/>
                <w:bCs/>
                <w:color w:val="0D7A6B"/>
                <w:sz w:val="20"/>
                <w:szCs w:val="20"/>
              </w:rPr>
              <w:t xml:space="preserve">Publisher: </w:t>
            </w:r>
            <w:r>
              <w:rPr>
                <w:rFonts w:ascii="Arial" w:cs="Arial" w:eastAsia="Arial" w:hAnsi="Arial"/>
                <w:color w:val="1A1A2E"/>
                <w:sz w:val="20"/>
                <w:szCs w:val="20"/>
              </w:rPr>
              <w:t xml:space="preserve">Judgment Index Australia (JIAU)  ·  jiau.com.au  ·  © 2026</w:t>
            </w:r>
          </w:p>
        </w:tc>
      </w:tr>
    </w:tbl>
    <w:p>
      <w:pPr>
        <w:spacing w:after="0" w:before="70"/>
      </w:pPr>
    </w:p>
    <w:p>
      <w:pPr>
        <w:pStyle w:val="Heading2"/>
        <w:keepNext/>
        <w:spacing w:after="90" w:before="240"/>
      </w:pPr>
      <w:r>
        <w:rPr>
          <w:rFonts w:ascii="Arial" w:cs="Arial" w:eastAsia="Arial" w:hAnsi="Arial"/>
          <w:b/>
          <w:bCs/>
          <w:color w:val="0D7A6B"/>
          <w:sz w:val="26"/>
          <w:szCs w:val="26"/>
        </w:rPr>
        <w:t xml:space="preserve">The Psychological Safety Investment Gap</w:t>
      </w:r>
    </w:p>
    <w:p>
      <w:pPr>
        <w:spacing w:after="65" w:before="65"/>
      </w:pPr>
      <w:r>
        <w:rPr>
          <w:rFonts w:ascii="Arial" w:cs="Arial" w:eastAsia="Arial" w:hAnsi="Arial"/>
          <w:b w:val="false"/>
          <w:bCs w:val="false"/>
          <w:i w:val="false"/>
          <w:iCs w:val="false"/>
          <w:color w:val="1A1A2E"/>
          <w:sz w:val="22"/>
          <w:szCs w:val="22"/>
        </w:rPr>
        <w:t xml:space="preserve">Australian organisations have invested significantly in psychological safety frameworks over the past five years. Amy Edmondson’s work has been widely adopted. Training programmes, team charters, speaking-up frameworks and culture surveys have proliferated. And yet in many organisations, the investment has not produced the outcome it promised.</w:t>
      </w:r>
    </w:p>
    <w:p>
      <w:pPr>
        <w:spacing w:after="0" w:before="55"/>
      </w:pPr>
    </w:p>
    <w:p>
      <w:pPr>
        <w:spacing w:after="65" w:before="65"/>
      </w:pPr>
      <w:r>
        <w:rPr>
          <w:rFonts w:ascii="Arial" w:cs="Arial" w:eastAsia="Arial" w:hAnsi="Arial"/>
          <w:b w:val="false"/>
          <w:bCs w:val="false"/>
          <w:i w:val="false"/>
          <w:iCs w:val="false"/>
          <w:color w:val="1A1A2E"/>
          <w:sz w:val="22"/>
          <w:szCs w:val="22"/>
        </w:rPr>
        <w:t xml:space="preserve">Teams still do not raise concerns. Mistakes still go unreported. Uncomfortable truths still go unsaid. Boards still discover problems after the damage has occurred. The gap between stated psychological safety and actual speaking-up behaviour remains stubbornly wide.</w:t>
      </w:r>
    </w:p>
    <w:p>
      <w:pPr>
        <w:spacing w:after="0" w:before="55"/>
      </w:pPr>
    </w:p>
    <w:p>
      <w:pPr>
        <w:spacing w:after="65" w:before="65"/>
      </w:pPr>
      <w:r>
        <w:rPr>
          <w:rFonts w:ascii="Arial" w:cs="Arial" w:eastAsia="Arial" w:hAnsi="Arial"/>
          <w:b w:val="false"/>
          <w:bCs w:val="false"/>
          <w:i w:val="false"/>
          <w:iCs w:val="false"/>
          <w:color w:val="1A1A2E"/>
          <w:sz w:val="22"/>
          <w:szCs w:val="22"/>
        </w:rPr>
        <w:t xml:space="preserve">The reason is that psychological safety frameworks address the environment but not the individual. They create the conditions for speaking up. They do not measure whether each specific person in the room has the capacity to use those conditions.</w:t>
      </w:r>
    </w:p>
    <w:p>
      <w:pPr>
        <w:spacing w:after="0" w:before="70"/>
      </w:pPr>
    </w:p>
    <w:p>
      <w:pPr>
        <w:pStyle w:val="Heading2"/>
        <w:keepNext/>
        <w:spacing w:after="90" w:before="240"/>
      </w:pPr>
      <w:r>
        <w:rPr>
          <w:rFonts w:ascii="Arial" w:cs="Arial" w:eastAsia="Arial" w:hAnsi="Arial"/>
          <w:b/>
          <w:bCs/>
          <w:color w:val="1B3A6B"/>
          <w:sz w:val="26"/>
          <w:szCs w:val="26"/>
        </w:rPr>
        <w:t xml:space="preserve">The Missing Layer: Individual Assertiveness and Moral Clarity Capacity</w:t>
      </w:r>
    </w:p>
    <w:p>
      <w:pPr>
        <w:spacing w:after="65" w:before="65"/>
      </w:pPr>
      <w:r>
        <w:rPr>
          <w:rFonts w:ascii="Arial" w:cs="Arial" w:eastAsia="Arial" w:hAnsi="Arial"/>
          <w:b w:val="false"/>
          <w:bCs w:val="false"/>
          <w:i w:val="false"/>
          <w:iCs w:val="false"/>
          <w:color w:val="1A1A2E"/>
          <w:sz w:val="22"/>
          <w:szCs w:val="22"/>
        </w:rPr>
        <w:t xml:space="preserve">The JI measures two dimensions that determine whether psychological safety translates into actual speaking-up behaviour at the individual level:</w:t>
      </w:r>
    </w:p>
    <w:p>
      <w:pPr>
        <w:spacing w:after="0" w:before="55"/>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2880"/>
        <w:gridCol w:w="2880"/>
      </w:tblGrid>
      <w:tr>
        <w:tc>
          <w:tcPr>
            <w:tcW w:type="dxa" w:w="3600"/>
            <w:tcBorders>
              <w:top w:val="single" w:color="CCCCCC" w:sz="1"/>
              <w:left w:val="single" w:color="CCCCCC" w:sz="1"/>
              <w:bottom w:val="single" w:color="CCCCCC" w:sz="1"/>
              <w:right w:val="single" w:color="CCCCCC" w:sz="1"/>
            </w:tcBorders>
            <w:shd w:fill="1B3A6B" w:val="clear"/>
            <w:tcMar>
              <w:top w:type="dxa" w:w="85"/>
              <w:left w:type="dxa" w:w="100"/>
              <w:bottom w:type="dxa" w:w="85"/>
              <w:right w:type="dxa" w:w="100"/>
            </w:tcMar>
          </w:tcPr>
          <w:p>
            <w:r>
              <w:rPr>
                <w:rFonts w:ascii="Arial" w:cs="Arial" w:eastAsia="Arial" w:hAnsi="Arial"/>
                <w:b/>
                <w:bCs/>
                <w:color w:val="FFFFFF"/>
                <w:sz w:val="19"/>
                <w:szCs w:val="19"/>
              </w:rPr>
              <w:t xml:space="preserve">Dimension</w:t>
            </w:r>
          </w:p>
        </w:tc>
        <w:tc>
          <w:tcPr>
            <w:tcW w:type="dxa" w:w="2880"/>
            <w:tcBorders>
              <w:top w:val="single" w:color="CCCCCC" w:sz="1"/>
              <w:left w:val="single" w:color="CCCCCC" w:sz="1"/>
              <w:bottom w:val="single" w:color="CCCCCC" w:sz="1"/>
              <w:right w:val="single" w:color="CCCCCC" w:sz="1"/>
            </w:tcBorders>
            <w:shd w:fill="1B3A6B" w:val="clear"/>
            <w:tcMar>
              <w:top w:type="dxa" w:w="85"/>
              <w:left w:type="dxa" w:w="100"/>
              <w:bottom w:type="dxa" w:w="85"/>
              <w:right w:type="dxa" w:w="100"/>
            </w:tcMar>
          </w:tcPr>
          <w:p>
            <w:r>
              <w:rPr>
                <w:rFonts w:ascii="Arial" w:cs="Arial" w:eastAsia="Arial" w:hAnsi="Arial"/>
                <w:b/>
                <w:bCs/>
                <w:color w:val="FFFFFF"/>
                <w:sz w:val="19"/>
                <w:szCs w:val="19"/>
              </w:rPr>
              <w:t xml:space="preserve">What It Measures</w:t>
            </w:r>
          </w:p>
        </w:tc>
        <w:tc>
          <w:tcPr>
            <w:tcW w:type="dxa" w:w="2880"/>
            <w:tcBorders>
              <w:top w:val="single" w:color="CCCCCC" w:sz="1"/>
              <w:left w:val="single" w:color="CCCCCC" w:sz="1"/>
              <w:bottom w:val="single" w:color="CCCCCC" w:sz="1"/>
              <w:right w:val="single" w:color="CCCCCC" w:sz="1"/>
            </w:tcBorders>
            <w:shd w:fill="1B3A6B" w:val="clear"/>
            <w:tcMar>
              <w:top w:type="dxa" w:w="85"/>
              <w:left w:type="dxa" w:w="100"/>
              <w:bottom w:type="dxa" w:w="85"/>
              <w:right w:type="dxa" w:w="100"/>
            </w:tcMar>
          </w:tcPr>
          <w:p>
            <w:r>
              <w:rPr>
                <w:rFonts w:ascii="Arial" w:cs="Arial" w:eastAsia="Arial" w:hAnsi="Arial"/>
                <w:b/>
                <w:bCs/>
                <w:color w:val="FFFFFF"/>
                <w:sz w:val="19"/>
                <w:szCs w:val="19"/>
              </w:rPr>
              <w:t xml:space="preserve">Why Psychological Safety Frameworks Cannot Access It</w:t>
            </w:r>
          </w:p>
        </w:tc>
      </w:tr>
      <w:tr>
        <w:tc>
          <w:tcPr>
            <w:tcW w:type="dxa" w:w="3600"/>
            <w:tcBorders>
              <w:top w:val="single" w:color="CCCCCC" w:sz="1"/>
              <w:left w:val="single" w:color="CCCCCC" w:sz="1"/>
              <w:bottom w:val="single" w:color="CCCCCC" w:sz="1"/>
              <w:right w:val="single" w:color="CCCCCC" w:sz="1"/>
            </w:tcBorders>
            <w:shd w:fill="E8EDF5" w:val="clear"/>
            <w:tcMar>
              <w:top w:type="dxa" w:w="65"/>
              <w:left w:type="dxa" w:w="100"/>
              <w:bottom w:type="dxa" w:w="65"/>
              <w:right w:type="dxa" w:w="100"/>
            </w:tcMar>
          </w:tcPr>
          <w:p>
            <w:r>
              <w:rPr>
                <w:rFonts w:ascii="Arial" w:cs="Arial" w:eastAsia="Arial" w:hAnsi="Arial"/>
                <w:b/>
                <w:bCs/>
                <w:color w:val="1B3A6B"/>
                <w:sz w:val="19"/>
                <w:szCs w:val="19"/>
              </w:rPr>
              <w:t xml:space="preserve">Assertiveness dimension</w:t>
            </w:r>
          </w:p>
        </w:tc>
        <w:tc>
          <w:tcPr>
            <w:tcW w:type="dxa" w:w="2880"/>
            <w:tcBorders>
              <w:top w:val="single" w:color="CCCCCC" w:sz="1"/>
              <w:left w:val="single" w:color="CCCCCC" w:sz="1"/>
              <w:bottom w:val="single" w:color="CCCCCC" w:sz="1"/>
              <w:right w:val="single" w:color="CCCCCC" w:sz="1"/>
            </w:tcBorders>
            <w:shd w:fill="EEF2F8" w:val="clear"/>
            <w:tcMar>
              <w:top w:type="dxa" w:w="65"/>
              <w:left w:type="dxa" w:w="100"/>
              <w:bottom w:type="dxa" w:w="65"/>
              <w:right w:type="dxa" w:w="100"/>
            </w:tcMar>
          </w:tcPr>
          <w:p>
            <w:r>
              <w:rPr>
                <w:rFonts w:ascii="Arial" w:cs="Arial" w:eastAsia="Arial" w:hAnsi="Arial"/>
                <w:b w:val="false"/>
                <w:bCs w:val="false"/>
                <w:color w:val="1A1A2E"/>
                <w:sz w:val="19"/>
                <w:szCs w:val="19"/>
              </w:rPr>
              <w:t xml:space="preserve">The specific capacity to speak up, challenge and contribute under social pressure. Not confidence - the willingness to take interpersonal risk when the stakes are real.</w:t>
            </w:r>
          </w:p>
        </w:tc>
        <w:tc>
          <w:tcPr>
            <w:tcW w:type="dxa" w:w="2880"/>
            <w:tcBorders>
              <w:top w:val="single" w:color="CCCCCC" w:sz="1"/>
              <w:left w:val="single" w:color="CCCCCC" w:sz="1"/>
              <w:bottom w:val="single" w:color="CCCCCC" w:sz="1"/>
              <w:right w:val="single" w:color="CCCCCC" w:sz="1"/>
            </w:tcBorders>
            <w:shd w:fill="FDECEA" w:val="clear"/>
            <w:tcMar>
              <w:top w:type="dxa" w:w="65"/>
              <w:left w:type="dxa" w:w="100"/>
              <w:bottom w:type="dxa" w:w="65"/>
              <w:right w:type="dxa" w:w="100"/>
            </w:tcMar>
          </w:tcPr>
          <w:p>
            <w:r>
              <w:rPr>
                <w:rFonts w:ascii="Arial" w:cs="Arial" w:eastAsia="Arial" w:hAnsi="Arial"/>
                <w:b w:val="false"/>
                <w:bCs w:val="false"/>
                <w:color w:val="1A1A2E"/>
                <w:sz w:val="19"/>
                <w:szCs w:val="19"/>
              </w:rPr>
              <w:t xml:space="preserve">A psychological safety training programme creates permission to speak. It does not change the individual’s assertiveness capacity. Low assertiveness is a values-level orientation, not a skills gap.</w:t>
            </w:r>
          </w:p>
        </w:tc>
      </w:tr>
      <w:tr>
        <w:tc>
          <w:tcPr>
            <w:tcW w:type="dxa" w:w="3600"/>
            <w:tcBorders>
              <w:top w:val="single" w:color="CCCCCC" w:sz="1"/>
              <w:left w:val="single" w:color="CCCCCC" w:sz="1"/>
              <w:bottom w:val="single" w:color="CCCCCC" w:sz="1"/>
              <w:right w:val="single" w:color="CCCCCC" w:sz="1"/>
            </w:tcBorders>
            <w:shd w:fill="E8EDF5" w:val="clear"/>
            <w:tcMar>
              <w:top w:type="dxa" w:w="65"/>
              <w:left w:type="dxa" w:w="100"/>
              <w:bottom w:type="dxa" w:w="65"/>
              <w:right w:type="dxa" w:w="100"/>
            </w:tcMar>
          </w:tcPr>
          <w:p>
            <w:r>
              <w:rPr>
                <w:rFonts w:ascii="Arial" w:cs="Arial" w:eastAsia="Arial" w:hAnsi="Arial"/>
                <w:b/>
                <w:bCs/>
                <w:color w:val="1B3A6B"/>
                <w:sz w:val="19"/>
                <w:szCs w:val="19"/>
              </w:rPr>
              <w:t xml:space="preserve">Moral Clarity (Moral Clarity score)</w:t>
            </w:r>
          </w:p>
        </w:tc>
        <w:tc>
          <w:tcPr>
            <w:tcW w:type="dxa" w:w="2880"/>
            <w:tcBorders>
              <w:top w:val="single" w:color="CCCCCC" w:sz="1"/>
              <w:left w:val="single" w:color="CCCCCC" w:sz="1"/>
              <w:bottom w:val="single" w:color="CCCCCC" w:sz="1"/>
              <w:right w:val="single" w:color="CCCCCC" w:sz="1"/>
            </w:tcBorders>
            <w:shd w:fill="EEF2F8" w:val="clear"/>
            <w:tcMar>
              <w:top w:type="dxa" w:w="65"/>
              <w:left w:type="dxa" w:w="100"/>
              <w:bottom w:type="dxa" w:w="65"/>
              <w:right w:type="dxa" w:w="100"/>
            </w:tcMar>
          </w:tcPr>
          <w:p>
            <w:r>
              <w:rPr>
                <w:rFonts w:ascii="Arial" w:cs="Arial" w:eastAsia="Arial" w:hAnsi="Arial"/>
                <w:b w:val="false"/>
                <w:bCs w:val="false"/>
                <w:color w:val="1A1A2E"/>
                <w:sz w:val="19"/>
                <w:szCs w:val="19"/>
              </w:rPr>
              <w:t xml:space="preserve">Ethical reasoning consistency under pressure. Whether a person’s values remain stable when challenge, discomfort or personal risk are involved.</w:t>
            </w:r>
          </w:p>
        </w:tc>
        <w:tc>
          <w:tcPr>
            <w:tcW w:type="dxa" w:w="2880"/>
            <w:tcBorders>
              <w:top w:val="single" w:color="CCCCCC" w:sz="1"/>
              <w:left w:val="single" w:color="CCCCCC" w:sz="1"/>
              <w:bottom w:val="single" w:color="CCCCCC" w:sz="1"/>
              <w:right w:val="single" w:color="CCCCCC" w:sz="1"/>
            </w:tcBorders>
            <w:shd w:fill="FDECEA" w:val="clear"/>
            <w:tcMar>
              <w:top w:type="dxa" w:w="65"/>
              <w:left w:type="dxa" w:w="100"/>
              <w:bottom w:type="dxa" w:w="65"/>
              <w:right w:type="dxa" w:w="100"/>
            </w:tcMar>
          </w:tcPr>
          <w:p>
            <w:r>
              <w:rPr>
                <w:rFonts w:ascii="Arial" w:cs="Arial" w:eastAsia="Arial" w:hAnsi="Arial"/>
                <w:b w:val="false"/>
                <w:bCs w:val="false"/>
                <w:color w:val="1A1A2E"/>
                <w:sz w:val="19"/>
                <w:szCs w:val="19"/>
              </w:rPr>
              <w:t xml:space="preserve">Without moral clarity, a person may recognise that something is wrong but not act on it. The environment is safe. Their internal permission is not.</w:t>
            </w:r>
          </w:p>
        </w:tc>
      </w:tr>
    </w:tbl>
    <w:p>
      <w:pPr>
        <w:spacing w:after="0" w:before="55"/>
      </w:pPr>
    </w:p>
    <w:p>
      <w:pPr>
        <w:spacing w:after="65" w:before="65"/>
      </w:pPr>
      <w:r>
        <w:rPr>
          <w:rFonts w:ascii="Arial" w:cs="Arial" w:eastAsia="Arial" w:hAnsi="Arial"/>
          <w:b w:val="false"/>
          <w:bCs w:val="false"/>
          <w:i w:val="false"/>
          <w:iCs w:val="false"/>
          <w:color w:val="1A1A2E"/>
          <w:sz w:val="22"/>
          <w:szCs w:val="22"/>
        </w:rPr>
        <w:t xml:space="preserve">A team where the majority of members have below-threshold Assertiveness scores will not become a psychologically safe team through training. The environment can be made as safe as possible - but if the individuals in it do not have the value structure to use that safety, the speaking-up behaviour will not change.</w:t>
      </w:r>
    </w:p>
    <w:p>
      <w:pPr>
        <w:spacing w:after="0" w:before="70"/>
      </w:pPr>
    </w:p>
    <w:p>
      <w:pPr>
        <w:pStyle w:val="Heading2"/>
        <w:keepNext/>
        <w:spacing w:after="90" w:before="240"/>
      </w:pPr>
      <w:r>
        <w:rPr>
          <w:rFonts w:ascii="Arial" w:cs="Arial" w:eastAsia="Arial" w:hAnsi="Arial"/>
          <w:b/>
          <w:bCs/>
          <w:color w:val="B42828"/>
          <w:sz w:val="26"/>
          <w:szCs w:val="26"/>
        </w:rPr>
        <w:t xml:space="preserve">The Silence Culture: How It Forms and How JI Maps It</w:t>
      </w:r>
    </w:p>
    <w:p>
      <w:pPr>
        <w:spacing w:after="65" w:before="65"/>
      </w:pPr>
      <w:r>
        <w:rPr>
          <w:rFonts w:ascii="Arial" w:cs="Arial" w:eastAsia="Arial" w:hAnsi="Arial"/>
          <w:b w:val="false"/>
          <w:bCs w:val="false"/>
          <w:i w:val="false"/>
          <w:iCs w:val="false"/>
          <w:color w:val="1A1A2E"/>
          <w:sz w:val="22"/>
          <w:szCs w:val="22"/>
        </w:rPr>
        <w:t xml:space="preserve">A silence culture does not form because people are dishonest or cowardly. It forms because the value structures of the individuals in the team do not support interpersonal risk-taking under pressure. And in many cases, the leader of the team - who is responsible for creating psychological safety - has the lowest Assertiveness score in the room.</w:t>
      </w:r>
    </w:p>
    <w:p>
      <w:pPr>
        <w:spacing w:after="0" w:before="55"/>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DECEA" w:val="clear"/>
            <w:tcMar>
              <w:top w:type="dxa" w:w="140"/>
              <w:left w:type="dxa" w:w="180"/>
              <w:bottom w:type="dxa" w:w="140"/>
              <w:right w:type="dxa" w:w="180"/>
            </w:tcMar>
          </w:tcPr>
          <w:p>
            <w:pPr>
              <w:spacing w:after="80" w:before="0"/>
            </w:pPr>
            <w:r>
              <w:rPr>
                <w:rFonts w:ascii="Arial" w:cs="Arial" w:eastAsia="Arial" w:hAnsi="Arial"/>
                <w:b/>
                <w:bCs/>
                <w:color w:val="B42828"/>
                <w:sz w:val="22"/>
                <w:szCs w:val="22"/>
              </w:rPr>
              <w:t xml:space="preserve">What JI silence culture mapping reveals</w:t>
            </w:r>
          </w:p>
          <w:p>
            <w:pPr>
              <w:pStyle w:val="ListParagraph"/>
              <w:keepLines/>
              <w:numPr>
                <w:ilvl w:val="0"/>
                <w:numId w:val="2"/>
              </w:numPr>
              <w:spacing w:after="44" w:before="44"/>
            </w:pPr>
            <w:r>
              <w:rPr>
                <w:rFonts w:ascii="Arial" w:cs="Arial" w:eastAsia="Arial" w:hAnsi="Arial"/>
                <w:color w:val="1A1A2E"/>
                <w:sz w:val="21"/>
                <w:szCs w:val="21"/>
              </w:rPr>
              <w:t xml:space="preserve">Which team members have the Assertiveness capacity to speak up and which do not - at the individual level</w:t>
            </w:r>
          </w:p>
          <w:p>
            <w:pPr>
              <w:pStyle w:val="ListParagraph"/>
              <w:keepLines/>
              <w:numPr>
                <w:ilvl w:val="0"/>
                <w:numId w:val="2"/>
              </w:numPr>
              <w:spacing w:after="44" w:before="44"/>
            </w:pPr>
            <w:r>
              <w:rPr>
                <w:rFonts w:ascii="Arial" w:cs="Arial" w:eastAsia="Arial" w:hAnsi="Arial"/>
                <w:color w:val="1A1A2E"/>
                <w:sz w:val="21"/>
                <w:szCs w:val="21"/>
              </w:rPr>
              <w:t xml:space="preserve">Whether the team leader’s own Assertiveness and Moral Clarity scores are creating or suppressing the speaking-up culture</w:t>
            </w:r>
          </w:p>
          <w:p>
            <w:pPr>
              <w:pStyle w:val="ListParagraph"/>
              <w:keepLines/>
              <w:numPr>
                <w:ilvl w:val="0"/>
                <w:numId w:val="2"/>
              </w:numPr>
              <w:spacing w:after="44" w:before="44"/>
            </w:pPr>
            <w:r>
              <w:rPr>
                <w:rFonts w:ascii="Arial" w:cs="Arial" w:eastAsia="Arial" w:hAnsi="Arial"/>
                <w:color w:val="1A1A2E"/>
                <w:sz w:val="21"/>
                <w:szCs w:val="21"/>
              </w:rPr>
              <w:t xml:space="preserve">Which specific interpersonal pairings are creating the most silence risk in the team</w:t>
            </w:r>
          </w:p>
          <w:p>
            <w:pPr>
              <w:pStyle w:val="ListParagraph"/>
              <w:keepLines/>
              <w:numPr>
                <w:ilvl w:val="0"/>
                <w:numId w:val="2"/>
              </w:numPr>
              <w:spacing w:after="44" w:before="44"/>
            </w:pPr>
            <w:r>
              <w:rPr>
                <w:rFonts w:ascii="Arial" w:cs="Arial" w:eastAsia="Arial" w:hAnsi="Arial"/>
                <w:color w:val="1A1A2E"/>
                <w:sz w:val="21"/>
                <w:szCs w:val="21"/>
              </w:rPr>
              <w:t xml:space="preserve">Whether the silence is structural (consistent low Assertiveness across the team) or situational (triggered by specific relational dynamics)</w:t>
            </w:r>
          </w:p>
          <w:p>
            <w:pPr>
              <w:pStyle w:val="ListParagraph"/>
              <w:keepLines/>
              <w:numPr>
                <w:ilvl w:val="0"/>
                <w:numId w:val="2"/>
              </w:numPr>
              <w:spacing w:after="44" w:before="44"/>
            </w:pPr>
            <w:r>
              <w:rPr>
                <w:rFonts w:ascii="Arial" w:cs="Arial" w:eastAsia="Arial" w:hAnsi="Arial"/>
                <w:color w:val="1A1A2E"/>
                <w:sz w:val="21"/>
                <w:szCs w:val="21"/>
              </w:rPr>
              <w:t xml:space="preserve">What development investment will actually change speaking-up behaviour - versus what will only change stated willingness</w:t>
            </w:r>
          </w:p>
        </w:tc>
      </w:tr>
    </w:tbl>
    <w:p>
      <w:pPr>
        <w:spacing w:after="0" w:before="70"/>
      </w:pPr>
    </w:p>
    <w:p>
      <w:pPr>
        <w:pStyle w:val="Heading2"/>
        <w:keepNext/>
        <w:spacing w:after="90" w:before="240"/>
      </w:pPr>
      <w:r>
        <w:rPr>
          <w:rFonts w:ascii="Arial" w:cs="Arial" w:eastAsia="Arial" w:hAnsi="Arial"/>
          <w:b/>
          <w:bCs/>
          <w:color w:val="0D7A6B"/>
          <w:sz w:val="26"/>
          <w:szCs w:val="26"/>
        </w:rPr>
        <w:t xml:space="preserve">The Government and Healthcare Application</w:t>
      </w:r>
    </w:p>
    <w:p>
      <w:pPr>
        <w:spacing w:after="65" w:before="65"/>
      </w:pPr>
      <w:r>
        <w:rPr>
          <w:rFonts w:ascii="Arial" w:cs="Arial" w:eastAsia="Arial" w:hAnsi="Arial"/>
          <w:b w:val="false"/>
          <w:bCs w:val="false"/>
          <w:i w:val="false"/>
          <w:iCs w:val="false"/>
          <w:color w:val="1A1A2E"/>
          <w:sz w:val="22"/>
          <w:szCs w:val="22"/>
        </w:rPr>
        <w:t xml:space="preserve">In Australian government agencies, healthcare organisations and emergency services - where silence cultures have the most severe consequences - the JI silence culture mapping is a directly applicable governance and safety tool. The psychosocial hazard category of ‘poor workplace relationships’ under the Safe Work Australia Code of Practice is directly measured by the JI Assertiveness and Relational Insight dimensions.</w:t>
      </w:r>
    </w:p>
    <w:p>
      <w:pPr>
        <w:spacing w:after="0" w:before="55"/>
      </w:pPr>
    </w:p>
    <w:p>
      <w:pPr>
        <w:spacing w:after="65" w:before="65"/>
      </w:pPr>
      <w:r>
        <w:rPr>
          <w:rFonts w:ascii="Arial" w:cs="Arial" w:eastAsia="Arial" w:hAnsi="Arial"/>
          <w:b w:val="false"/>
          <w:bCs w:val="false"/>
          <w:i w:val="false"/>
          <w:iCs w:val="false"/>
          <w:color w:val="1A1A2E"/>
          <w:sz w:val="22"/>
          <w:szCs w:val="22"/>
        </w:rPr>
        <w:t xml:space="preserve">For WHS managers in these sectors, JI silence culture mapping provides the individual-level psychosocial risk data that generic wellbeing surveys cannot produce - and that makes a proactive hazard identification programme defensible in a regulatory context.</w:t>
      </w:r>
    </w:p>
    <w:p>
      <w:pPr>
        <w:spacing w:after="0" w:before="7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D7A6B" w:sz="1"/>
              <w:left w:val="single" w:color="0D7A6B" w:sz="1"/>
              <w:bottom w:val="single" w:color="0D7A6B" w:sz="1"/>
              <w:right w:val="single" w:color="0D7A6B" w:sz="1"/>
            </w:tcBorders>
            <w:shd w:fill="E6F4F1" w:val="clear"/>
            <w:tcMar>
              <w:top w:type="dxa" w:w="160"/>
              <w:left w:type="dxa" w:w="200"/>
              <w:bottom w:type="dxa" w:w="160"/>
              <w:right w:type="dxa" w:w="200"/>
            </w:tcMar>
          </w:tcPr>
          <w:p>
            <w:pPr>
              <w:spacing w:after="60" w:before="0"/>
            </w:pPr>
            <w:r>
              <w:rPr>
                <w:rFonts w:ascii="Arial" w:cs="Arial" w:eastAsia="Arial" w:hAnsi="Arial"/>
                <w:b/>
                <w:bCs/>
                <w:color w:val="0D7A6B"/>
                <w:sz w:val="22"/>
                <w:szCs w:val="22"/>
              </w:rPr>
              <w:t xml:space="preserve">What to do next</w:t>
            </w:r>
          </w:p>
          <w:p>
            <w:pPr>
              <w:spacing w:after="50" w:before="0"/>
            </w:pPr>
            <w:r>
              <w:rPr>
                <w:rFonts w:ascii="Arial" w:cs="Arial" w:eastAsia="Arial" w:hAnsi="Arial"/>
                <w:color w:val="1A1A2E"/>
                <w:sz w:val="22"/>
                <w:szCs w:val="22"/>
              </w:rPr>
              <w:t xml:space="preserve">If your organisation has invested in psychological safety and is not seeing the speaking-up behaviour you expected, the most useful next step is a 30-minute Silence Culture Discovery Conversation with a JIAU advisor.</w:t>
            </w:r>
          </w:p>
          <w:p>
            <w:pPr>
              <w:spacing w:after="50" w:before="0"/>
            </w:pPr>
            <w:r>
              <w:rPr>
                <w:rFonts w:ascii="Arial" w:cs="Arial" w:eastAsia="Arial" w:hAnsi="Arial"/>
                <w:b/>
                <w:bCs/>
                <w:color w:val="0D7A6B"/>
                <w:sz w:val="22"/>
                <w:szCs w:val="22"/>
              </w:rPr>
              <w:t xml:space="preserve">Book a Psychological Safety Discovery Conversation: jiau.com.au/book</w:t>
            </w:r>
          </w:p>
          <w:p>
            <w:pPr>
              <w:spacing w:after="0" w:before="0"/>
            </w:pPr>
            <w:r>
              <w:rPr>
                <w:rFonts w:ascii="Arial" w:cs="Arial" w:eastAsia="Arial" w:hAnsi="Arial"/>
                <w:i/>
                <w:iCs/>
                <w:color w:val="4A5568"/>
                <w:sz w:val="20"/>
                <w:szCs w:val="20"/>
              </w:rPr>
              <w:t xml:space="preserve">Book at: jiau.com.au  ·  Or call: 1300 677 572  ·  Or email: info@jiau.com.au</w:t>
            </w:r>
          </w:p>
        </w:tc>
      </w:tr>
    </w:tbl>
    <w:p>
      <w:r>
        <w:br w:type="page"/>
      </w:r>
    </w:p>
    <w:p>
      <w:pPr>
        <w:pStyle w:val="Heading1"/>
        <w:pageBreakBefore/>
        <w:spacing w:after="110" w:before="0"/>
      </w:pPr>
      <w:r>
        <w:rPr>
          <w:rFonts w:ascii="Arial" w:cs="Arial" w:eastAsia="Arial" w:hAnsi="Arial"/>
          <w:b/>
          <w:bCs/>
          <w:color w:val="1B3A6B"/>
          <w:sz w:val="34"/>
          <w:szCs w:val="34"/>
        </w:rPr>
        <w:t xml:space="preserve">White Paper 5: Board-Level Human Risk Intelligence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thick" w:color="1B3A6B" w:sz="12"/>
              <w:left w:val="thick" w:color="1B3A6B" w:sz="12"/>
              <w:bottom w:val="thick" w:color="1B3A6B" w:sz="12"/>
              <w:right w:val="thick" w:color="1B3A6B" w:sz="12"/>
            </w:tcBorders>
            <w:shd w:fill="E8EDF5" w:val="clear"/>
            <w:tcMar>
              <w:top w:type="dxa" w:w="200"/>
              <w:left w:type="dxa" w:w="240"/>
              <w:bottom w:type="dxa" w:w="200"/>
              <w:right w:type="dxa" w:w="240"/>
            </w:tcMar>
          </w:tcPr>
          <w:p>
            <w:pPr>
              <w:spacing w:after="14" w:before="0"/>
            </w:pPr>
            <w:r>
              <w:rPr>
                <w:rFonts w:ascii="Arial" w:cs="Arial" w:eastAsia="Arial" w:hAnsi="Arial"/>
                <w:b/>
                <w:bCs/>
                <w:color w:val="1B3A6B"/>
                <w:sz w:val="18"/>
                <w:szCs w:val="18"/>
              </w:rPr>
              <w:t xml:space="preserve">WHITE PAPER 5 OF 10</w:t>
            </w:r>
          </w:p>
          <w:p>
            <w:pPr>
              <w:spacing w:after="24" w:before="0"/>
            </w:pPr>
            <w:r>
              <w:rPr>
                <w:rFonts w:ascii="Arial" w:cs="Arial" w:eastAsia="Arial" w:hAnsi="Arial"/>
                <w:b/>
                <w:bCs/>
                <w:color w:val="1B3A6B"/>
                <w:sz w:val="32"/>
                <w:szCs w:val="32"/>
              </w:rPr>
              <w:t xml:space="preserve">Board-Level Human Risk Intelligence</w:t>
            </w:r>
          </w:p>
          <w:p>
            <w:pPr>
              <w:spacing w:after="40" w:before="0"/>
            </w:pPr>
            <w:r>
              <w:rPr>
                <w:rFonts w:ascii="Arial" w:cs="Arial" w:eastAsia="Arial" w:hAnsi="Arial"/>
                <w:i/>
                <w:iCs/>
                <w:color w:val="4A5568"/>
                <w:sz w:val="22"/>
                <w:szCs w:val="22"/>
              </w:rPr>
              <w:t xml:space="preserve">The Governance Gap No Australian Board Is Currently Measuring - And Why It Matters</w:t>
            </w:r>
          </w:p>
          <w:p>
            <w:pPr>
              <w:pBdr>
                <w:bottom w:val="single" w:color="1B3A6B" w:sz="6" w:space="1"/>
              </w:pBdr>
              <w:spacing w:after="160" w:before="160"/>
            </w:pPr>
          </w:p>
          <w:p>
            <w:pPr>
              <w:spacing w:after="14" w:before="40"/>
            </w:pPr>
            <w:r>
              <w:rPr>
                <w:rFonts w:ascii="Arial" w:cs="Arial" w:eastAsia="Arial" w:hAnsi="Arial"/>
                <w:b/>
                <w:bCs/>
                <w:color w:val="1B3A6B"/>
                <w:sz w:val="20"/>
                <w:szCs w:val="20"/>
              </w:rPr>
              <w:t xml:space="preserve">Primary audience: </w:t>
            </w:r>
            <w:r>
              <w:rPr>
                <w:rFonts w:ascii="Arial" w:cs="Arial" w:eastAsia="Arial" w:hAnsi="Arial"/>
                <w:color w:val="1A1A2E"/>
                <w:sz w:val="20"/>
                <w:szCs w:val="20"/>
              </w:rPr>
              <w:t xml:space="preserve">Board Directors, Company Secretaries, CEOs, Risk Committees, ASX-listed organisations</w:t>
            </w:r>
          </w:p>
          <w:p>
            <w:pPr>
              <w:spacing w:after="14" w:before="0"/>
            </w:pPr>
            <w:r>
              <w:rPr>
                <w:rFonts w:ascii="Arial" w:cs="Arial" w:eastAsia="Arial" w:hAnsi="Arial"/>
                <w:b/>
                <w:bCs/>
                <w:color w:val="1B3A6B"/>
                <w:sz w:val="20"/>
                <w:szCs w:val="20"/>
              </w:rPr>
              <w:t xml:space="preserve">Recommended gate: </w:t>
            </w:r>
            <w:r>
              <w:rPr>
                <w:rFonts w:ascii="Arial" w:cs="Arial" w:eastAsia="Arial" w:hAnsi="Arial"/>
                <w:color w:val="1A1A2E"/>
                <w:sz w:val="20"/>
                <w:szCs w:val="20"/>
              </w:rPr>
              <w:t xml:space="preserve">Work email address  ·  First name  ·  Organisation</w:t>
            </w:r>
          </w:p>
          <w:p>
            <w:pPr>
              <w:spacing w:after="14" w:before="0"/>
            </w:pPr>
            <w:r>
              <w:rPr>
                <w:rFonts w:ascii="Arial" w:cs="Arial" w:eastAsia="Arial" w:hAnsi="Arial"/>
                <w:b/>
                <w:bCs/>
                <w:color w:val="1B3A6B"/>
                <w:sz w:val="20"/>
                <w:szCs w:val="20"/>
              </w:rPr>
              <w:t xml:space="preserve">Approximate length: </w:t>
            </w:r>
            <w:r>
              <w:rPr>
                <w:rFonts w:ascii="Arial" w:cs="Arial" w:eastAsia="Arial" w:hAnsi="Arial"/>
                <w:color w:val="1A1A2E"/>
                <w:sz w:val="20"/>
                <w:szCs w:val="20"/>
              </w:rPr>
              <w:t xml:space="preserve">1,300 words · 7 minute read</w:t>
            </w:r>
          </w:p>
          <w:p>
            <w:pPr>
              <w:spacing w:after="0" w:before="0"/>
            </w:pPr>
            <w:r>
              <w:rPr>
                <w:rFonts w:ascii="Arial" w:cs="Arial" w:eastAsia="Arial" w:hAnsi="Arial"/>
                <w:b/>
                <w:bCs/>
                <w:color w:val="1B3A6B"/>
                <w:sz w:val="20"/>
                <w:szCs w:val="20"/>
              </w:rPr>
              <w:t xml:space="preserve">Publisher: </w:t>
            </w:r>
            <w:r>
              <w:rPr>
                <w:rFonts w:ascii="Arial" w:cs="Arial" w:eastAsia="Arial" w:hAnsi="Arial"/>
                <w:color w:val="1A1A2E"/>
                <w:sz w:val="20"/>
                <w:szCs w:val="20"/>
              </w:rPr>
              <w:t xml:space="preserve">Judgment Index Australia (JIAU)  ·  jiau.com.au  ·  © 2026</w:t>
            </w:r>
          </w:p>
        </w:tc>
      </w:tr>
    </w:tbl>
    <w:p>
      <w:pPr>
        <w:spacing w:after="0" w:before="70"/>
      </w:pPr>
    </w:p>
    <w:p>
      <w:pPr>
        <w:pStyle w:val="Heading2"/>
        <w:keepNext/>
        <w:spacing w:after="90" w:before="240"/>
      </w:pPr>
      <w:r>
        <w:rPr>
          <w:rFonts w:ascii="Arial" w:cs="Arial" w:eastAsia="Arial" w:hAnsi="Arial"/>
          <w:b/>
          <w:bCs/>
          <w:color w:val="1B3A6B"/>
          <w:sz w:val="26"/>
          <w:szCs w:val="26"/>
        </w:rPr>
        <w:t xml:space="preserve">The Governance Gap</w:t>
      </w:r>
    </w:p>
    <w:p>
      <w:pPr>
        <w:spacing w:after="65" w:before="65"/>
      </w:pPr>
      <w:r>
        <w:rPr>
          <w:rFonts w:ascii="Arial" w:cs="Arial" w:eastAsia="Arial" w:hAnsi="Arial"/>
          <w:b w:val="false"/>
          <w:bCs w:val="false"/>
          <w:i w:val="false"/>
          <w:iCs w:val="false"/>
          <w:color w:val="1A1A2E"/>
          <w:sz w:val="22"/>
          <w:szCs w:val="22"/>
        </w:rPr>
        <w:t xml:space="preserve">Australian boards are more sophisticated than at any previous point in governance history. They receive detailed financial reporting, operational risk registers, cyber risk assessments, environmental and social governance data, and regulatory compliance reports. The quality of board-level information has never been higher.</w:t>
      </w:r>
    </w:p>
    <w:p>
      <w:pPr>
        <w:spacing w:after="0" w:before="55"/>
      </w:pPr>
    </w:p>
    <w:p>
      <w:pPr>
        <w:spacing w:after="65" w:before="65"/>
      </w:pPr>
      <w:r>
        <w:rPr>
          <w:rFonts w:ascii="Arial" w:cs="Arial" w:eastAsia="Arial" w:hAnsi="Arial"/>
          <w:b w:val="false"/>
          <w:bCs w:val="false"/>
          <w:i w:val="false"/>
          <w:iCs w:val="false"/>
          <w:color w:val="1A1A2E"/>
          <w:sz w:val="22"/>
          <w:szCs w:val="22"/>
        </w:rPr>
        <w:t xml:space="preserve">And yet Australian boards continue to be surprised by leadership failures, cultural breakdowns, psychological injury claims, executive burnout and governance failures that, in retrospect, had been building for months or years before they became visible. The James Hardie asbestos saga, the banking royal commission, the aged care royal commission, the childcare abuse investigations - in every case, the signals were present before the crisis. The governance system did not see them.</w:t>
      </w:r>
    </w:p>
    <w:p>
      <w:pPr>
        <w:spacing w:after="0" w:before="55"/>
      </w:pPr>
    </w:p>
    <w:p>
      <w:pPr>
        <w:spacing w:after="65" w:before="65"/>
      </w:pPr>
      <w:r>
        <w:rPr>
          <w:rFonts w:ascii="Arial" w:cs="Arial" w:eastAsia="Arial" w:hAnsi="Arial"/>
          <w:b w:val="false"/>
          <w:bCs w:val="false"/>
          <w:i w:val="false"/>
          <w:iCs w:val="false"/>
          <w:color w:val="1A1A2E"/>
          <w:sz w:val="22"/>
          <w:szCs w:val="22"/>
        </w:rPr>
        <w:t xml:space="preserve">The reason is that board governance in Australia has a systematic blind spot: human risk. Not human resources. Human risk. The quality of judgement, the stability of values, the sustainability of leadership capacity, the ethical drift that precedes governance failure. This is not in the board’s information set. And it is not there because no validated instrument in Australia has been able to measure it - until now.</w:t>
      </w:r>
    </w:p>
    <w:p>
      <w:pPr>
        <w:spacing w:after="0" w:before="70"/>
      </w:pPr>
    </w:p>
    <w:p>
      <w:pPr>
        <w:pStyle w:val="Heading2"/>
        <w:keepNext/>
        <w:spacing w:after="90" w:before="240"/>
      </w:pPr>
      <w:r>
        <w:rPr>
          <w:rFonts w:ascii="Arial" w:cs="Arial" w:eastAsia="Arial" w:hAnsi="Arial"/>
          <w:b/>
          <w:bCs/>
          <w:color w:val="0D7A6B"/>
          <w:sz w:val="26"/>
          <w:szCs w:val="26"/>
        </w:rPr>
        <w:t xml:space="preserve">What Board-Level Human Risk Intelligence Looks Like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8EDF5" w:val="clear"/>
            <w:tcMar>
              <w:top w:type="dxa" w:w="140"/>
              <w:left w:type="dxa" w:w="180"/>
              <w:bottom w:type="dxa" w:w="140"/>
              <w:right w:type="dxa" w:w="180"/>
            </w:tcMar>
          </w:tcPr>
          <w:p>
            <w:pPr>
              <w:spacing w:after="80" w:before="0"/>
            </w:pPr>
            <w:r>
              <w:rPr>
                <w:rFonts w:ascii="Arial" w:cs="Arial" w:eastAsia="Arial" w:hAnsi="Arial"/>
                <w:b/>
                <w:bCs/>
                <w:color w:val="1B3A6B"/>
                <w:sz w:val="22"/>
                <w:szCs w:val="22"/>
              </w:rPr>
              <w:t xml:space="preserve">The six human risk signals that a JI Board Intelligence Report provides</w:t>
            </w:r>
          </w:p>
          <w:p>
            <w:pPr>
              <w:pStyle w:val="ListParagraph"/>
              <w:keepLines/>
              <w:numPr>
                <w:ilvl w:val="0"/>
                <w:numId w:val="2"/>
              </w:numPr>
              <w:spacing w:after="44" w:before="44"/>
            </w:pPr>
            <w:r>
              <w:rPr>
                <w:rFonts w:ascii="Arial" w:cs="Arial" w:eastAsia="Arial" w:hAnsi="Arial"/>
                <w:color w:val="1A1A2E"/>
                <w:sz w:val="21"/>
                <w:szCs w:val="21"/>
              </w:rPr>
              <w:t xml:space="preserve">Leadership sustainability: which members of the executive team are operating beyond their sustainable capacity - the Self-Care indicator that predicts the unplanned departure or breakdown before it occurs</w:t>
            </w:r>
          </w:p>
          <w:p>
            <w:pPr>
              <w:pStyle w:val="ListParagraph"/>
              <w:keepLines/>
              <w:numPr>
                <w:ilvl w:val="0"/>
                <w:numId w:val="2"/>
              </w:numPr>
              <w:spacing w:after="44" w:before="44"/>
            </w:pPr>
            <w:r>
              <w:rPr>
                <w:rFonts w:ascii="Arial" w:cs="Arial" w:eastAsia="Arial" w:hAnsi="Arial"/>
                <w:color w:val="1A1A2E"/>
                <w:sz w:val="21"/>
                <w:szCs w:val="21"/>
              </w:rPr>
              <w:t xml:space="preserve">Ethical clarity under pressure: Moral Clarity and Concept Balance scores across the leadership team - the early warning system for the ethical drift that precedes governance failures</w:t>
            </w:r>
          </w:p>
          <w:p>
            <w:pPr>
              <w:pStyle w:val="ListParagraph"/>
              <w:keepLines/>
              <w:numPr>
                <w:ilvl w:val="0"/>
                <w:numId w:val="2"/>
              </w:numPr>
              <w:spacing w:after="44" w:before="44"/>
            </w:pPr>
            <w:r>
              <w:rPr>
                <w:rFonts w:ascii="Arial" w:cs="Arial" w:eastAsia="Arial" w:hAnsi="Arial"/>
                <w:color w:val="1A1A2E"/>
                <w:sz w:val="21"/>
                <w:szCs w:val="21"/>
              </w:rPr>
              <w:t xml:space="preserve">Silence culture risk: Assertiveness mapping across the leadership team - identifying whether the board’s information flow is being filtered by a silence culture in the executive layer</w:t>
            </w:r>
          </w:p>
          <w:p>
            <w:pPr>
              <w:pStyle w:val="ListParagraph"/>
              <w:keepLines/>
              <w:numPr>
                <w:ilvl w:val="0"/>
                <w:numId w:val="2"/>
              </w:numPr>
              <w:spacing w:after="44" w:before="44"/>
            </w:pPr>
            <w:r>
              <w:rPr>
                <w:rFonts w:ascii="Arial" w:cs="Arial" w:eastAsia="Arial" w:hAnsi="Arial"/>
                <w:color w:val="1A1A2E"/>
                <w:sz w:val="21"/>
                <w:szCs w:val="21"/>
              </w:rPr>
              <w:t xml:space="preserve">Board composition intelligence: Judgement Type compatibility mapping across the board itself - identifying the collective blind spots in board decision-making before they produce a governance failure</w:t>
            </w:r>
          </w:p>
          <w:p>
            <w:pPr>
              <w:pStyle w:val="ListParagraph"/>
              <w:keepLines/>
              <w:numPr>
                <w:ilvl w:val="0"/>
                <w:numId w:val="2"/>
              </w:numPr>
              <w:spacing w:after="44" w:before="44"/>
            </w:pPr>
            <w:r>
              <w:rPr>
                <w:rFonts w:ascii="Arial" w:cs="Arial" w:eastAsia="Arial" w:hAnsi="Arial"/>
                <w:color w:val="1A1A2E"/>
                <w:sz w:val="21"/>
                <w:szCs w:val="21"/>
              </w:rPr>
              <w:t xml:space="preserve">Succession readiness: evidence-based assessment of which internal candidates have the first-principles leadership capacity for the next tier of responsibility - not who appears ready, but who is</w:t>
            </w:r>
          </w:p>
          <w:p>
            <w:pPr>
              <w:pStyle w:val="ListParagraph"/>
              <w:keepLines/>
              <w:numPr>
                <w:ilvl w:val="0"/>
                <w:numId w:val="2"/>
              </w:numPr>
              <w:spacing w:after="44" w:before="44"/>
            </w:pPr>
            <w:r>
              <w:rPr>
                <w:rFonts w:ascii="Arial" w:cs="Arial" w:eastAsia="Arial" w:hAnsi="Arial"/>
                <w:color w:val="1A1A2E"/>
                <w:sz w:val="21"/>
                <w:szCs w:val="21"/>
              </w:rPr>
              <w:t xml:space="preserve">Psychosocial risk governance: documentation of proactive psychosocial hazard identification at the leadership level - supporting the board’s obligations under the Safe Work Australia Code of Practice</w:t>
            </w:r>
          </w:p>
        </w:tc>
      </w:tr>
    </w:tbl>
    <w:p>
      <w:pPr>
        <w:spacing w:after="0" w:before="70"/>
      </w:pPr>
    </w:p>
    <w:p>
      <w:pPr>
        <w:pStyle w:val="Heading2"/>
        <w:keepNext/>
        <w:spacing w:after="90" w:before="240"/>
      </w:pPr>
      <w:r>
        <w:rPr>
          <w:rFonts w:ascii="Arial" w:cs="Arial" w:eastAsia="Arial" w:hAnsi="Arial"/>
          <w:b/>
          <w:bCs/>
          <w:color w:val="B42828"/>
          <w:sz w:val="26"/>
          <w:szCs w:val="26"/>
        </w:rPr>
        <w:t xml:space="preserve">The Lag Indicator Problem</w:t>
      </w:r>
    </w:p>
    <w:p>
      <w:pPr>
        <w:spacing w:after="65" w:before="65"/>
      </w:pPr>
      <w:r>
        <w:rPr>
          <w:rFonts w:ascii="Arial" w:cs="Arial" w:eastAsia="Arial" w:hAnsi="Arial"/>
          <w:b w:val="false"/>
          <w:bCs w:val="false"/>
          <w:i w:val="false"/>
          <w:iCs w:val="false"/>
          <w:color w:val="1A1A2E"/>
          <w:sz w:val="22"/>
          <w:szCs w:val="22"/>
        </w:rPr>
        <w:t xml:space="preserve">Every piece of information a board currently receives about human risk is a lag indicator. Turnover data tells you people have already left. Workers’ compensation claims tell you injuries have already occurred. Performance review data tells you results have already declined. Exit interview data tells you the decision has already been made.</w:t>
      </w:r>
    </w:p>
    <w:p>
      <w:pPr>
        <w:spacing w:after="0" w:before="55"/>
      </w:pPr>
    </w:p>
    <w:p>
      <w:pPr>
        <w:spacing w:after="65" w:before="65"/>
      </w:pPr>
      <w:r>
        <w:rPr>
          <w:rFonts w:ascii="Arial" w:cs="Arial" w:eastAsia="Arial" w:hAnsi="Arial"/>
          <w:b w:val="false"/>
          <w:bCs w:val="false"/>
          <w:i w:val="false"/>
          <w:iCs w:val="false"/>
          <w:color w:val="1A1A2E"/>
          <w:sz w:val="22"/>
          <w:szCs w:val="22"/>
        </w:rPr>
        <w:t xml:space="preserve">The JI is a lead indicator. The Self-Care dimension signals burnout risk before the resignation. The Moral Clarity dimension signals ethical drift before the governance failure. The Assertiveness dimension signals silence culture before the unreported incident. The board that has access to this data is governing. The board that does not is waiting.</w:t>
      </w:r>
    </w:p>
    <w:p>
      <w:pPr>
        <w:spacing w:after="0" w:before="55"/>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
        <w:gridCol w:w="9200"/>
      </w:tblGrid>
      <w:tr>
        <w:tc>
          <w:tcPr>
            <w:tcW w:type="dxa" w:w="160"/>
            <w:tcBorders>
              <w:top w:val="none" w:color="FFFFFF" w:sz="0"/>
              <w:left w:val="none" w:color="FFFFFF" w:sz="0"/>
              <w:bottom w:val="none" w:color="FFFFFF" w:sz="0"/>
              <w:right w:val="none" w:color="FFFFFF" w:sz="0"/>
            </w:tcBorders>
            <w:shd w:fill="1B3A6B" w:val="clear"/>
          </w:tcPr>
          <w:p/>
        </w:tc>
        <w:tc>
          <w:tcPr>
            <w:tcW w:type="dxa" w:w="9200"/>
            <w:tcBorders>
              <w:top w:val="none" w:color="FFFFFF" w:sz="0"/>
              <w:left w:val="none" w:color="FFFFFF" w:sz="0"/>
              <w:bottom w:val="none" w:color="FFFFFF" w:sz="0"/>
              <w:right w:val="none" w:color="FFFFFF" w:sz="0"/>
            </w:tcBorders>
            <w:shd w:fill="EEF2F8" w:val="clear"/>
            <w:tcMar>
              <w:top w:type="dxa" w:w="140"/>
              <w:left w:type="dxa" w:w="200"/>
              <w:bottom w:type="dxa" w:w="140"/>
              <w:right w:type="dxa" w:w="160"/>
            </w:tcMar>
          </w:tcPr>
          <w:p>
            <w:pPr>
              <w:spacing w:after="70" w:before="0"/>
            </w:pPr>
            <w:r>
              <w:rPr>
                <w:rFonts w:ascii="Arial" w:cs="Arial" w:eastAsia="Arial" w:hAnsi="Arial"/>
                <w:i/>
                <w:iCs/>
                <w:color w:val="1A1A2E"/>
                <w:sz w:val="23"/>
                <w:szCs w:val="23"/>
              </w:rPr>
              <w:t xml:space="preserve">“Modern governance requires earlier visibility into leadership pressure, burnout vulnerability, ethical clarity and organisational silence. The question for Australian boards is not whether human risk is real. It is whether you have the data to see it.”</w:t>
            </w:r>
          </w:p>
          <w:p>
            <w:r>
              <w:rPr>
                <w:rFonts w:ascii="Arial" w:cs="Arial" w:eastAsia="Arial" w:hAnsi="Arial"/>
                <w:b/>
                <w:bCs/>
                <w:color w:val="1B3A6B"/>
                <w:sz w:val="20"/>
                <w:szCs w:val="20"/>
              </w:rPr>
              <w:t xml:space="preserve">— JIAU Board Intelligence Brief, 2026</w:t>
            </w:r>
          </w:p>
        </w:tc>
      </w:tr>
    </w:tbl>
    <w:p>
      <w:pPr>
        <w:spacing w:after="0" w:before="70"/>
      </w:pPr>
    </w:p>
    <w:p>
      <w:pPr>
        <w:pStyle w:val="Heading2"/>
        <w:keepNext/>
        <w:spacing w:after="90" w:before="240"/>
      </w:pPr>
      <w:r>
        <w:rPr>
          <w:rFonts w:ascii="Arial" w:cs="Arial" w:eastAsia="Arial" w:hAnsi="Arial"/>
          <w:b/>
          <w:bCs/>
          <w:color w:val="50288A"/>
          <w:sz w:val="26"/>
          <w:szCs w:val="26"/>
        </w:rPr>
        <w:t xml:space="preserve">The Board Compatibility Report</w:t>
      </w:r>
    </w:p>
    <w:p>
      <w:pPr>
        <w:spacing w:after="65" w:before="65"/>
      </w:pPr>
      <w:r>
        <w:rPr>
          <w:rFonts w:ascii="Arial" w:cs="Arial" w:eastAsia="Arial" w:hAnsi="Arial"/>
          <w:b w:val="false"/>
          <w:bCs w:val="false"/>
          <w:i w:val="false"/>
          <w:iCs w:val="false"/>
          <w:color w:val="1A1A2E"/>
          <w:sz w:val="22"/>
          <w:szCs w:val="22"/>
        </w:rPr>
        <w:t xml:space="preserve">One of the most distinctive applications of the JI for boards is the Board Compatibility Report - a mapping of the Judgement Type composition of the board itself. This is not available from any other instrument in the Australian governance market.</w:t>
      </w:r>
    </w:p>
    <w:p>
      <w:pPr>
        <w:spacing w:after="0" w:before="55"/>
      </w:pPr>
    </w:p>
    <w:p>
      <w:pPr>
        <w:spacing w:after="65" w:before="65"/>
      </w:pPr>
      <w:r>
        <w:rPr>
          <w:rFonts w:ascii="Arial" w:cs="Arial" w:eastAsia="Arial" w:hAnsi="Arial"/>
          <w:b w:val="false"/>
          <w:bCs w:val="false"/>
          <w:i w:val="false"/>
          <w:iCs w:val="false"/>
          <w:color w:val="1A1A2E"/>
          <w:sz w:val="22"/>
          <w:szCs w:val="22"/>
        </w:rPr>
        <w:t xml:space="preserve">A board’s collective decision-making quality is not determined by the individual capability of its members. It is determined by how those members’ Judgement Types interact under pressure. A board that is type-heavy in strategic thinkers will produce brilliant direction and weak execution accountability. A board dominated by operational types will manage risk conservatively and miss strategic inflection points. Neither knows what they are missing because neither has ever had the data.</w:t>
      </w:r>
    </w:p>
    <w:p>
      <w:pPr>
        <w:spacing w:after="0" w:before="55"/>
      </w:pPr>
    </w:p>
    <w:p>
      <w:pPr>
        <w:spacing w:after="65" w:before="65"/>
      </w:pPr>
      <w:r>
        <w:rPr>
          <w:rFonts w:ascii="Arial" w:cs="Arial" w:eastAsia="Arial" w:hAnsi="Arial"/>
          <w:b w:val="false"/>
          <w:bCs w:val="false"/>
          <w:i w:val="false"/>
          <w:iCs w:val="false"/>
          <w:color w:val="1A1A2E"/>
          <w:sz w:val="22"/>
          <w:szCs w:val="22"/>
        </w:rPr>
        <w:t xml:space="preserve">The Board Compatibility Report gives them that data. It maps the type composition, identifies the blind spots in collective decision-making, and defines the Judgement Type profile for the next board appointment. It is the governance tool that skills matrices cannot provide.</w:t>
      </w:r>
    </w:p>
    <w:p>
      <w:pPr>
        <w:spacing w:after="0" w:before="7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EF2F8" w:val="clear"/>
            <w:tcMar>
              <w:top w:type="dxa" w:w="140"/>
              <w:left w:type="dxa" w:w="180"/>
              <w:bottom w:type="dxa" w:w="140"/>
              <w:right w:type="dxa" w:w="180"/>
            </w:tcMar>
          </w:tcPr>
          <w:p>
            <w:pPr>
              <w:spacing w:after="80" w:before="0"/>
            </w:pPr>
            <w:r>
              <w:rPr>
                <w:rFonts w:ascii="Arial" w:cs="Arial" w:eastAsia="Arial" w:hAnsi="Arial"/>
                <w:b/>
                <w:bCs/>
                <w:color w:val="28374F"/>
                <w:sz w:val="22"/>
                <w:szCs w:val="22"/>
              </w:rPr>
              <w:t xml:space="preserve">Key References — White Paper 5</w:t>
            </w:r>
          </w:p>
          <w:p>
            <w:pPr>
              <w:pStyle w:val="ListParagraph"/>
              <w:keepLines/>
              <w:numPr>
                <w:ilvl w:val="0"/>
                <w:numId w:val="2"/>
              </w:numPr>
              <w:spacing w:after="44" w:before="44"/>
            </w:pPr>
            <w:r>
              <w:rPr>
                <w:rFonts w:ascii="Arial" w:cs="Arial" w:eastAsia="Arial" w:hAnsi="Arial"/>
                <w:color w:val="1A1A2E"/>
                <w:sz w:val="21"/>
                <w:szCs w:val="21"/>
              </w:rPr>
              <w:t xml:space="preserve">AICD (2024). Governance Resource Highlights 2024 — Hodge-Tame Opinion. aicd.com.au</w:t>
            </w:r>
          </w:p>
          <w:p>
            <w:pPr>
              <w:pStyle w:val="ListParagraph"/>
              <w:keepLines/>
              <w:numPr>
                <w:ilvl w:val="0"/>
                <w:numId w:val="2"/>
              </w:numPr>
              <w:spacing w:after="44" w:before="44"/>
            </w:pPr>
            <w:r>
              <w:rPr>
                <w:rFonts w:ascii="Arial" w:cs="Arial" w:eastAsia="Arial" w:hAnsi="Arial"/>
                <w:color w:val="1A1A2E"/>
                <w:sz w:val="21"/>
                <w:szCs w:val="21"/>
              </w:rPr>
              <w:t xml:space="preserve">AICD (2024). Board Insights: Key Trends and Priorities for 2025. aicd.com.au</w:t>
            </w:r>
          </w:p>
          <w:p>
            <w:pPr>
              <w:pStyle w:val="ListParagraph"/>
              <w:keepLines/>
              <w:numPr>
                <w:ilvl w:val="0"/>
                <w:numId w:val="2"/>
              </w:numPr>
              <w:spacing w:after="44" w:before="44"/>
            </w:pPr>
            <w:r>
              <w:rPr>
                <w:rFonts w:ascii="Arial" w:cs="Arial" w:eastAsia="Arial" w:hAnsi="Arial"/>
                <w:color w:val="1A1A2E"/>
                <w:sz w:val="21"/>
                <w:szCs w:val="21"/>
              </w:rPr>
              <w:t xml:space="preserve">AICD (2025). Governance in Practice: Highlights from 2025. aicd.com.au</w:t>
            </w:r>
          </w:p>
          <w:p>
            <w:pPr>
              <w:pStyle w:val="ListParagraph"/>
              <w:keepLines/>
              <w:numPr>
                <w:ilvl w:val="0"/>
                <w:numId w:val="2"/>
              </w:numPr>
              <w:spacing w:after="44" w:before="44"/>
            </w:pPr>
            <w:r>
              <w:rPr>
                <w:rFonts w:ascii="Arial" w:cs="Arial" w:eastAsia="Arial" w:hAnsi="Arial"/>
                <w:color w:val="1A1A2E"/>
                <w:sz w:val="21"/>
                <w:szCs w:val="21"/>
              </w:rPr>
              <w:t xml:space="preserve">Safe Work Australia: Code of Practice on Managing Psychosocial Hazards (2022).</w:t>
            </w:r>
          </w:p>
          <w:p>
            <w:pPr>
              <w:pStyle w:val="ListParagraph"/>
              <w:keepLines/>
              <w:numPr>
                <w:ilvl w:val="0"/>
                <w:numId w:val="2"/>
              </w:numPr>
              <w:spacing w:after="44" w:before="44"/>
            </w:pPr>
            <w:r>
              <w:rPr>
                <w:rFonts w:ascii="Arial" w:cs="Arial" w:eastAsia="Arial" w:hAnsi="Arial"/>
                <w:color w:val="1A1A2E"/>
                <w:sz w:val="21"/>
                <w:szCs w:val="21"/>
              </w:rPr>
              <w:t xml:space="preserve">Australian Government: Aged Care Act 2024. health.gov.au</w:t>
            </w:r>
          </w:p>
          <w:p>
            <w:pPr>
              <w:pStyle w:val="ListParagraph"/>
              <w:keepLines/>
              <w:numPr>
                <w:ilvl w:val="0"/>
                <w:numId w:val="2"/>
              </w:numPr>
              <w:spacing w:after="44" w:before="44"/>
            </w:pPr>
            <w:r>
              <w:rPr>
                <w:rFonts w:ascii="Arial" w:cs="Arial" w:eastAsia="Arial" w:hAnsi="Arial"/>
                <w:color w:val="1A1A2E"/>
                <w:sz w:val="21"/>
                <w:szCs w:val="21"/>
              </w:rPr>
              <w:t xml:space="preserve">ACNC: Governance Standards for Australian Charities. acnc.gov.au</w:t>
            </w:r>
          </w:p>
          <w:p>
            <w:pPr>
              <w:pStyle w:val="ListParagraph"/>
              <w:keepLines/>
              <w:numPr>
                <w:ilvl w:val="0"/>
                <w:numId w:val="2"/>
              </w:numPr>
              <w:spacing w:after="44" w:before="44"/>
            </w:pPr>
            <w:r>
              <w:rPr>
                <w:rFonts w:ascii="Arial" w:cs="Arial" w:eastAsia="Arial" w:hAnsi="Arial"/>
                <w:color w:val="1A1A2E"/>
                <w:sz w:val="21"/>
                <w:szCs w:val="21"/>
              </w:rPr>
              <w:t xml:space="preserve">AHRI (2025). Quarterly Australian Work Outlook, September 2025. ahri.com.au</w:t>
            </w:r>
          </w:p>
          <w:p>
            <w:pPr>
              <w:pStyle w:val="ListParagraph"/>
              <w:keepLines/>
              <w:numPr>
                <w:ilvl w:val="0"/>
                <w:numId w:val="2"/>
              </w:numPr>
              <w:spacing w:after="44" w:before="44"/>
            </w:pPr>
            <w:r>
              <w:rPr>
                <w:rFonts w:ascii="Arial" w:cs="Arial" w:eastAsia="Arial" w:hAnsi="Arial"/>
                <w:color w:val="1A1A2E"/>
                <w:sz w:val="21"/>
                <w:szCs w:val="21"/>
              </w:rPr>
              <w:t xml:space="preserve">Value Resource Group: Validity Studies of the Hartman Value Profile. axiologic.org</w:t>
            </w:r>
          </w:p>
        </w:tc>
      </w:tr>
    </w:tbl>
    <w:p>
      <w:pPr>
        <w:spacing w:after="0" w:before="55"/>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D7A6B" w:sz="1"/>
              <w:left w:val="single" w:color="0D7A6B" w:sz="1"/>
              <w:bottom w:val="single" w:color="0D7A6B" w:sz="1"/>
              <w:right w:val="single" w:color="0D7A6B" w:sz="1"/>
            </w:tcBorders>
            <w:shd w:fill="E6F4F1" w:val="clear"/>
            <w:tcMar>
              <w:top w:type="dxa" w:w="160"/>
              <w:left w:type="dxa" w:w="200"/>
              <w:bottom w:type="dxa" w:w="160"/>
              <w:right w:type="dxa" w:w="200"/>
            </w:tcMar>
          </w:tcPr>
          <w:p>
            <w:pPr>
              <w:spacing w:after="60" w:before="0"/>
            </w:pPr>
            <w:r>
              <w:rPr>
                <w:rFonts w:ascii="Arial" w:cs="Arial" w:eastAsia="Arial" w:hAnsi="Arial"/>
                <w:b/>
                <w:bCs/>
                <w:color w:val="0D7A6B"/>
                <w:sz w:val="22"/>
                <w:szCs w:val="22"/>
              </w:rPr>
              <w:t xml:space="preserve">What to do next</w:t>
            </w:r>
          </w:p>
          <w:p>
            <w:pPr>
              <w:spacing w:after="50" w:before="0"/>
            </w:pPr>
            <w:r>
              <w:rPr>
                <w:rFonts w:ascii="Arial" w:cs="Arial" w:eastAsia="Arial" w:hAnsi="Arial"/>
                <w:color w:val="1A1A2E"/>
                <w:sz w:val="22"/>
                <w:szCs w:val="22"/>
              </w:rPr>
              <w:t xml:space="preserve">The JIAU Board Intelligence engagement begins with a confidential 30-minute briefing for the Board Chair or CEO. We present what the data would look like for your specific board and governance context, with no obligation to proceed.</w:t>
            </w:r>
          </w:p>
          <w:p>
            <w:pPr>
              <w:spacing w:after="50" w:before="0"/>
            </w:pPr>
            <w:r>
              <w:rPr>
                <w:rFonts w:ascii="Arial" w:cs="Arial" w:eastAsia="Arial" w:hAnsi="Arial"/>
                <w:b/>
                <w:bCs/>
                <w:color w:val="0D7A6B"/>
                <w:sz w:val="22"/>
                <w:szCs w:val="22"/>
              </w:rPr>
              <w:t xml:space="preserve">Request a Board Intelligence Briefing: jiau.com.au/book</w:t>
            </w:r>
          </w:p>
          <w:p>
            <w:pPr>
              <w:spacing w:after="0" w:before="0"/>
            </w:pPr>
            <w:r>
              <w:rPr>
                <w:rFonts w:ascii="Arial" w:cs="Arial" w:eastAsia="Arial" w:hAnsi="Arial"/>
                <w:i/>
                <w:iCs/>
                <w:color w:val="4A5568"/>
                <w:sz w:val="20"/>
                <w:szCs w:val="20"/>
              </w:rPr>
              <w:t xml:space="preserve">Book at: jiau.com.au  ·  Or call: 1300 677 572  ·  Or email: info@jiau.com.au</w:t>
            </w:r>
          </w:p>
        </w:tc>
      </w:tr>
    </w:tbl>
    <w:p>
      <w:r>
        <w:br w:type="page"/>
      </w:r>
    </w:p>
    <w:p>
      <w:pPr>
        <w:pStyle w:val="Heading1"/>
        <w:pageBreakBefore/>
        <w:spacing w:after="110" w:before="0"/>
      </w:pPr>
      <w:r>
        <w:rPr>
          <w:rFonts w:ascii="Arial" w:cs="Arial" w:eastAsia="Arial" w:hAnsi="Arial"/>
          <w:b/>
          <w:bCs/>
          <w:color w:val="1B3A6B"/>
          <w:sz w:val="34"/>
          <w:szCs w:val="34"/>
        </w:rPr>
        <w:t xml:space="preserve">White Paper 6: The 5Rs Effect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thick" w:color="147842" w:sz="12"/>
              <w:left w:val="thick" w:color="147842" w:sz="12"/>
              <w:bottom w:val="thick" w:color="147842" w:sz="12"/>
              <w:right w:val="thick" w:color="147842" w:sz="12"/>
            </w:tcBorders>
            <w:shd w:fill="E8F5EE" w:val="clear"/>
            <w:tcMar>
              <w:top w:type="dxa" w:w="200"/>
              <w:left w:type="dxa" w:w="240"/>
              <w:bottom w:type="dxa" w:w="200"/>
              <w:right w:type="dxa" w:w="240"/>
            </w:tcMar>
          </w:tcPr>
          <w:p>
            <w:pPr>
              <w:spacing w:after="14" w:before="0"/>
            </w:pPr>
            <w:r>
              <w:rPr>
                <w:rFonts w:ascii="Arial" w:cs="Arial" w:eastAsia="Arial" w:hAnsi="Arial"/>
                <w:b/>
                <w:bCs/>
                <w:color w:val="147842"/>
                <w:sz w:val="18"/>
                <w:szCs w:val="18"/>
              </w:rPr>
              <w:t xml:space="preserve">WHITE PAPER 6 OF 10</w:t>
            </w:r>
          </w:p>
          <w:p>
            <w:pPr>
              <w:spacing w:after="24" w:before="0"/>
            </w:pPr>
            <w:r>
              <w:rPr>
                <w:rFonts w:ascii="Arial" w:cs="Arial" w:eastAsia="Arial" w:hAnsi="Arial"/>
                <w:b/>
                <w:bCs/>
                <w:color w:val="1B3A6B"/>
                <w:sz w:val="32"/>
                <w:szCs w:val="32"/>
              </w:rPr>
              <w:t xml:space="preserve">The 5Rs Effect</w:t>
            </w:r>
          </w:p>
          <w:p>
            <w:pPr>
              <w:spacing w:after="40" w:before="0"/>
            </w:pPr>
            <w:r>
              <w:rPr>
                <w:rFonts w:ascii="Arial" w:cs="Arial" w:eastAsia="Arial" w:hAnsi="Arial"/>
                <w:i/>
                <w:iCs/>
                <w:color w:val="4A5568"/>
                <w:sz w:val="22"/>
                <w:szCs w:val="22"/>
              </w:rPr>
              <w:t xml:space="preserve">How the Judgment Index Addresses Australia’s Most Urgent Workforce Challenge</w:t>
            </w:r>
          </w:p>
          <w:p>
            <w:pPr>
              <w:pBdr>
                <w:bottom w:val="single" w:color="147842" w:sz="6" w:space="1"/>
              </w:pBdr>
              <w:spacing w:after="160" w:before="160"/>
            </w:pPr>
          </w:p>
          <w:p>
            <w:pPr>
              <w:spacing w:after="14" w:before="40"/>
            </w:pPr>
            <w:r>
              <w:rPr>
                <w:rFonts w:ascii="Arial" w:cs="Arial" w:eastAsia="Arial" w:hAnsi="Arial"/>
                <w:b/>
                <w:bCs/>
                <w:color w:val="147842"/>
                <w:sz w:val="20"/>
                <w:szCs w:val="20"/>
              </w:rPr>
              <w:t xml:space="preserve">Primary audience: </w:t>
            </w:r>
            <w:r>
              <w:rPr>
                <w:rFonts w:ascii="Arial" w:cs="Arial" w:eastAsia="Arial" w:hAnsi="Arial"/>
                <w:color w:val="1A1A2E"/>
                <w:sz w:val="20"/>
                <w:szCs w:val="20"/>
              </w:rPr>
              <w:t xml:space="preserve">CHROs, HR Directors, AHRI members, Workforce Planning professionals</w:t>
            </w:r>
          </w:p>
          <w:p>
            <w:pPr>
              <w:spacing w:after="14" w:before="0"/>
            </w:pPr>
            <w:r>
              <w:rPr>
                <w:rFonts w:ascii="Arial" w:cs="Arial" w:eastAsia="Arial" w:hAnsi="Arial"/>
                <w:b/>
                <w:bCs/>
                <w:color w:val="147842"/>
                <w:sz w:val="20"/>
                <w:szCs w:val="20"/>
              </w:rPr>
              <w:t xml:space="preserve">Recommended gate: </w:t>
            </w:r>
            <w:r>
              <w:rPr>
                <w:rFonts w:ascii="Arial" w:cs="Arial" w:eastAsia="Arial" w:hAnsi="Arial"/>
                <w:color w:val="1A1A2E"/>
                <w:sz w:val="20"/>
                <w:szCs w:val="20"/>
              </w:rPr>
              <w:t xml:space="preserve">Work email address  ·  First name  ·  Organisation</w:t>
            </w:r>
          </w:p>
          <w:p>
            <w:pPr>
              <w:spacing w:after="14" w:before="0"/>
            </w:pPr>
            <w:r>
              <w:rPr>
                <w:rFonts w:ascii="Arial" w:cs="Arial" w:eastAsia="Arial" w:hAnsi="Arial"/>
                <w:b/>
                <w:bCs/>
                <w:color w:val="147842"/>
                <w:sz w:val="20"/>
                <w:szCs w:val="20"/>
              </w:rPr>
              <w:t xml:space="preserve">Approximate length: </w:t>
            </w:r>
            <w:r>
              <w:rPr>
                <w:rFonts w:ascii="Arial" w:cs="Arial" w:eastAsia="Arial" w:hAnsi="Arial"/>
                <w:color w:val="1A1A2E"/>
                <w:sz w:val="20"/>
                <w:szCs w:val="20"/>
              </w:rPr>
              <w:t xml:space="preserve">1,200 words · 6 minute read</w:t>
            </w:r>
          </w:p>
          <w:p>
            <w:pPr>
              <w:spacing w:after="0" w:before="0"/>
            </w:pPr>
            <w:r>
              <w:rPr>
                <w:rFonts w:ascii="Arial" w:cs="Arial" w:eastAsia="Arial" w:hAnsi="Arial"/>
                <w:b/>
                <w:bCs/>
                <w:color w:val="147842"/>
                <w:sz w:val="20"/>
                <w:szCs w:val="20"/>
              </w:rPr>
              <w:t xml:space="preserve">Publisher: </w:t>
            </w:r>
            <w:r>
              <w:rPr>
                <w:rFonts w:ascii="Arial" w:cs="Arial" w:eastAsia="Arial" w:hAnsi="Arial"/>
                <w:color w:val="1A1A2E"/>
                <w:sz w:val="20"/>
                <w:szCs w:val="20"/>
              </w:rPr>
              <w:t xml:space="preserve">Judgment Index Australia (JIAU)  ·  jiau.com.au  ·  © 2026</w:t>
            </w:r>
          </w:p>
        </w:tc>
      </w:tr>
    </w:tbl>
    <w:p>
      <w:pPr>
        <w:spacing w:after="0" w:before="70"/>
      </w:pPr>
    </w:p>
    <w:p>
      <w:pPr>
        <w:pStyle w:val="Heading2"/>
        <w:keepNext/>
        <w:spacing w:after="90" w:before="240"/>
      </w:pPr>
      <w:r>
        <w:rPr>
          <w:rFonts w:ascii="Arial" w:cs="Arial" w:eastAsia="Arial" w:hAnsi="Arial"/>
          <w:b/>
          <w:bCs/>
          <w:color w:val="147842"/>
          <w:sz w:val="26"/>
          <w:szCs w:val="26"/>
        </w:rPr>
        <w:t xml:space="preserve">The Most Complex Workforce Environment in a Generation</w:t>
      </w:r>
    </w:p>
    <w:p>
      <w:pPr>
        <w:spacing w:after="65" w:before="65"/>
      </w:pPr>
      <w:r>
        <w:rPr>
          <w:rFonts w:ascii="Arial" w:cs="Arial" w:eastAsia="Arial" w:hAnsi="Arial"/>
          <w:b w:val="false"/>
          <w:bCs w:val="false"/>
          <w:i w:val="false"/>
          <w:iCs w:val="false"/>
          <w:color w:val="1A1A2E"/>
          <w:sz w:val="22"/>
          <w:szCs w:val="22"/>
        </w:rPr>
        <w:t xml:space="preserve">AHRI’s September 2025 Quarterly Australian Work Outlook identified a phenomenon they named the 5Rs Effect: the simultaneous management of recruitment, retention, reorganisation, reskilling and redundancy within the same organisation, often within the same quarter. This is not a temporary condition. It is the new normal for Australian HR leaders, driven by AI-driven role disruption, demographic change and the post-COVID restructuring of how and where work happens.</w:t>
      </w:r>
    </w:p>
    <w:p>
      <w:pPr>
        <w:spacing w:after="0" w:before="55"/>
      </w:pPr>
    </w:p>
    <w:p>
      <w:pPr>
        <w:pStyle w:val="ListParagraph"/>
        <w:keepNext/>
        <w:keepLines/>
        <w:numPr>
          <w:ilvl w:val="0"/>
          <w:numId w:val="2"/>
        </w:numPr>
        <w:spacing w:after="48" w:before="48"/>
      </w:pPr>
      <w:r>
        <w:rPr>
          <w:rFonts w:ascii="Arial" w:cs="Arial" w:eastAsia="Arial" w:hAnsi="Arial"/>
          <w:color w:val="1A1A2E"/>
          <w:sz w:val="22"/>
          <w:szCs w:val="22"/>
        </w:rPr>
        <w:t xml:space="preserve">69% of Australian organisations are currently planning to hire</w:t>
      </w:r>
    </w:p>
    <w:p>
      <w:pPr>
        <w:pStyle w:val="ListParagraph"/>
        <w:keepNext/>
        <w:keepLines/>
        <w:numPr>
          <w:ilvl w:val="0"/>
          <w:numId w:val="2"/>
        </w:numPr>
        <w:spacing w:after="48" w:before="48"/>
      </w:pPr>
      <w:r>
        <w:rPr>
          <w:rFonts w:ascii="Arial" w:cs="Arial" w:eastAsia="Arial" w:hAnsi="Arial"/>
          <w:color w:val="1A1A2E"/>
          <w:sz w:val="22"/>
          <w:szCs w:val="22"/>
        </w:rPr>
        <w:t xml:space="preserve">27% are simultaneously planning redundancies - 91% of these are also recruiting</w:t>
      </w:r>
    </w:p>
    <w:p>
      <w:pPr>
        <w:pStyle w:val="ListParagraph"/>
        <w:keepNext/>
        <w:keepLines/>
        <w:numPr>
          <w:ilvl w:val="0"/>
          <w:numId w:val="2"/>
        </w:numPr>
        <w:spacing w:after="48" w:before="48"/>
      </w:pPr>
      <w:r>
        <w:rPr>
          <w:rFonts w:ascii="Arial" w:cs="Arial" w:eastAsia="Arial" w:hAnsi="Arial"/>
          <w:color w:val="1A1A2E"/>
          <w:sz w:val="22"/>
          <w:szCs w:val="22"/>
        </w:rPr>
        <w:t xml:space="preserve">9 in 10 organisations expect major role changes within 3–5 years</w:t>
      </w:r>
    </w:p>
    <w:p>
      <w:pPr>
        <w:pStyle w:val="ListParagraph"/>
        <w:keepNext/>
        <w:keepLines/>
        <w:numPr>
          <w:ilvl w:val="0"/>
          <w:numId w:val="2"/>
        </w:numPr>
        <w:spacing w:after="48" w:before="48"/>
      </w:pPr>
      <w:r>
        <w:rPr>
          <w:rFonts w:ascii="Arial" w:cs="Arial" w:eastAsia="Arial" w:hAnsi="Arial"/>
          <w:color w:val="1A1A2E"/>
          <w:sz w:val="22"/>
          <w:szCs w:val="22"/>
        </w:rPr>
        <w:t xml:space="preserve">93% of organisations are now using AI in some form</w:t>
      </w:r>
    </w:p>
    <w:p>
      <w:pPr>
        <w:pStyle w:val="ListParagraph"/>
        <w:keepNext/>
        <w:keepLines/>
        <w:numPr>
          <w:ilvl w:val="0"/>
          <w:numId w:val="2"/>
        </w:numPr>
        <w:spacing w:after="48" w:before="48"/>
      </w:pPr>
      <w:r>
        <w:rPr>
          <w:rFonts w:ascii="Arial" w:cs="Arial" w:eastAsia="Arial" w:hAnsi="Arial"/>
          <w:color w:val="1A1A2E"/>
          <w:sz w:val="22"/>
          <w:szCs w:val="22"/>
        </w:rPr>
        <w:t xml:space="preserve">Average turnover: 16%. Most frequent departure reason: excessive workload</w:t>
      </w:r>
    </w:p>
    <w:p>
      <w:pPr>
        <w:spacing w:after="0" w:before="55"/>
      </w:pPr>
    </w:p>
    <w:p>
      <w:pPr>
        <w:spacing w:after="65" w:before="65"/>
      </w:pPr>
      <w:r>
        <w:rPr>
          <w:rFonts w:ascii="Arial" w:cs="Arial" w:eastAsia="Arial" w:hAnsi="Arial"/>
          <w:b w:val="false"/>
          <w:bCs w:val="false"/>
          <w:i w:val="false"/>
          <w:iCs w:val="false"/>
          <w:color w:val="1A1A2E"/>
          <w:sz w:val="22"/>
          <w:szCs w:val="22"/>
        </w:rPr>
        <w:t xml:space="preserve">The 5Rs Effect means that Australian HR leaders are managing five complex, interdependent workforce pressures simultaneously - each of which has a human judgement component that standard HR tools were not designed to address.</w:t>
      </w:r>
    </w:p>
    <w:p>
      <w:pPr>
        <w:spacing w:after="0" w:before="70"/>
      </w:pPr>
    </w:p>
    <w:p>
      <w:pPr>
        <w:pStyle w:val="Heading2"/>
        <w:keepNext/>
        <w:spacing w:after="90" w:before="240"/>
      </w:pPr>
      <w:r>
        <w:rPr>
          <w:rFonts w:ascii="Arial" w:cs="Arial" w:eastAsia="Arial" w:hAnsi="Arial"/>
          <w:b/>
          <w:bCs/>
          <w:color w:val="1B3A6B"/>
          <w:sz w:val="26"/>
          <w:szCs w:val="26"/>
        </w:rPr>
        <w:t xml:space="preserve">JI’s Specific Response to Each 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60"/>
        <w:gridCol w:w="2520"/>
        <w:gridCol w:w="2520"/>
        <w:gridCol w:w="3060"/>
      </w:tblGrid>
      <w:tr>
        <w:tc>
          <w:tcPr>
            <w:tcW w:type="dxa" w:w="1260"/>
            <w:tcBorders>
              <w:top w:val="single" w:color="CCCCCC" w:sz="1"/>
              <w:left w:val="single" w:color="CCCCCC" w:sz="1"/>
              <w:bottom w:val="single" w:color="CCCCCC" w:sz="1"/>
              <w:right w:val="single" w:color="CCCCCC" w:sz="1"/>
            </w:tcBorders>
            <w:shd w:fill="1B3A6B" w:val="clear"/>
            <w:tcMar>
              <w:top w:type="dxa" w:w="85"/>
              <w:left w:type="dxa" w:w="100"/>
              <w:bottom w:type="dxa" w:w="85"/>
              <w:right w:type="dxa" w:w="100"/>
            </w:tcMar>
          </w:tcPr>
          <w:p>
            <w:r>
              <w:rPr>
                <w:rFonts w:ascii="Arial" w:cs="Arial" w:eastAsia="Arial" w:hAnsi="Arial"/>
                <w:b/>
                <w:bCs/>
                <w:color w:val="FFFFFF"/>
                <w:sz w:val="19"/>
                <w:szCs w:val="19"/>
              </w:rPr>
              <w:t xml:space="preserve">The R</w:t>
            </w:r>
          </w:p>
        </w:tc>
        <w:tc>
          <w:tcPr>
            <w:tcW w:type="dxa" w:w="2520"/>
            <w:tcBorders>
              <w:top w:val="single" w:color="CCCCCC" w:sz="1"/>
              <w:left w:val="single" w:color="CCCCCC" w:sz="1"/>
              <w:bottom w:val="single" w:color="CCCCCC" w:sz="1"/>
              <w:right w:val="single" w:color="CCCCCC" w:sz="1"/>
            </w:tcBorders>
            <w:shd w:fill="1B3A6B" w:val="clear"/>
            <w:tcMar>
              <w:top w:type="dxa" w:w="85"/>
              <w:left w:type="dxa" w:w="100"/>
              <w:bottom w:type="dxa" w:w="85"/>
              <w:right w:type="dxa" w:w="100"/>
            </w:tcMar>
          </w:tcPr>
          <w:p>
            <w:r>
              <w:rPr>
                <w:rFonts w:ascii="Arial" w:cs="Arial" w:eastAsia="Arial" w:hAnsi="Arial"/>
                <w:b/>
                <w:bCs/>
                <w:color w:val="FFFFFF"/>
                <w:sz w:val="19"/>
                <w:szCs w:val="19"/>
              </w:rPr>
              <w:t xml:space="preserve">The Human Judgement Challenge</w:t>
            </w:r>
          </w:p>
        </w:tc>
        <w:tc>
          <w:tcPr>
            <w:tcW w:type="dxa" w:w="2520"/>
            <w:tcBorders>
              <w:top w:val="single" w:color="CCCCCC" w:sz="1"/>
              <w:left w:val="single" w:color="CCCCCC" w:sz="1"/>
              <w:bottom w:val="single" w:color="CCCCCC" w:sz="1"/>
              <w:right w:val="single" w:color="CCCCCC" w:sz="1"/>
            </w:tcBorders>
            <w:shd w:fill="1B3A6B" w:val="clear"/>
            <w:tcMar>
              <w:top w:type="dxa" w:w="85"/>
              <w:left w:type="dxa" w:w="100"/>
              <w:bottom w:type="dxa" w:w="85"/>
              <w:right w:type="dxa" w:w="100"/>
            </w:tcMar>
          </w:tcPr>
          <w:p>
            <w:r>
              <w:rPr>
                <w:rFonts w:ascii="Arial" w:cs="Arial" w:eastAsia="Arial" w:hAnsi="Arial"/>
                <w:b/>
                <w:bCs/>
                <w:color w:val="FFFFFF"/>
                <w:sz w:val="19"/>
                <w:szCs w:val="19"/>
              </w:rPr>
              <w:t xml:space="preserve">What JI Measures</w:t>
            </w:r>
          </w:p>
        </w:tc>
        <w:tc>
          <w:tcPr>
            <w:tcW w:type="dxa" w:w="3060"/>
            <w:tcBorders>
              <w:top w:val="single" w:color="CCCCCC" w:sz="1"/>
              <w:left w:val="single" w:color="CCCCCC" w:sz="1"/>
              <w:bottom w:val="single" w:color="CCCCCC" w:sz="1"/>
              <w:right w:val="single" w:color="CCCCCC" w:sz="1"/>
            </w:tcBorders>
            <w:shd w:fill="1B3A6B" w:val="clear"/>
            <w:tcMar>
              <w:top w:type="dxa" w:w="85"/>
              <w:left w:type="dxa" w:w="100"/>
              <w:bottom w:type="dxa" w:w="85"/>
              <w:right w:type="dxa" w:w="100"/>
            </w:tcMar>
          </w:tcPr>
          <w:p>
            <w:r>
              <w:rPr>
                <w:rFonts w:ascii="Arial" w:cs="Arial" w:eastAsia="Arial" w:hAnsi="Arial"/>
                <w:b/>
                <w:bCs/>
                <w:color w:val="FFFFFF"/>
                <w:sz w:val="19"/>
                <w:szCs w:val="19"/>
              </w:rPr>
              <w:t xml:space="preserve">The Gain</w:t>
            </w:r>
          </w:p>
        </w:tc>
      </w:tr>
      <w:tr>
        <w:tc>
          <w:tcPr>
            <w:tcW w:type="dxa" w:w="1260"/>
            <w:tcBorders>
              <w:top w:val="single" w:color="CCCCCC" w:sz="1"/>
              <w:left w:val="single" w:color="CCCCCC" w:sz="1"/>
              <w:bottom w:val="single" w:color="CCCCCC" w:sz="1"/>
              <w:right w:val="single" w:color="CCCCCC" w:sz="1"/>
            </w:tcBorders>
            <w:shd w:fill="E8EDF5" w:val="clear"/>
            <w:tcMar>
              <w:top w:type="dxa" w:w="65"/>
              <w:left w:type="dxa" w:w="100"/>
              <w:bottom w:type="dxa" w:w="65"/>
              <w:right w:type="dxa" w:w="100"/>
            </w:tcMar>
          </w:tcPr>
          <w:p>
            <w:r>
              <w:rPr>
                <w:rFonts w:ascii="Arial" w:cs="Arial" w:eastAsia="Arial" w:hAnsi="Arial"/>
                <w:b/>
                <w:bCs/>
                <w:color w:val="1B3A6B"/>
                <w:sz w:val="19"/>
                <w:szCs w:val="19"/>
              </w:rPr>
              <w:t xml:space="preserve">Recruitment</w:t>
            </w:r>
          </w:p>
        </w:tc>
        <w:tc>
          <w:tcPr>
            <w:tcW w:type="dxa" w:w="2520"/>
            <w:tcBorders>
              <w:top w:val="single" w:color="CCCCCC" w:sz="1"/>
              <w:left w:val="single" w:color="CCCCCC" w:sz="1"/>
              <w:bottom w:val="single" w:color="CCCCCC" w:sz="1"/>
              <w:right w:val="single" w:color="CCCCCC" w:sz="1"/>
            </w:tcBorders>
            <w:shd w:fill="EEF2F8" w:val="clear"/>
            <w:tcMar>
              <w:top w:type="dxa" w:w="65"/>
              <w:left w:type="dxa" w:w="100"/>
              <w:bottom w:type="dxa" w:w="65"/>
              <w:right w:type="dxa" w:w="100"/>
            </w:tcMar>
          </w:tcPr>
          <w:p>
            <w:r>
              <w:rPr>
                <w:rFonts w:ascii="Arial" w:cs="Arial" w:eastAsia="Arial" w:hAnsi="Arial"/>
                <w:b w:val="false"/>
                <w:bCs w:val="false"/>
                <w:color w:val="1A1A2E"/>
                <w:sz w:val="19"/>
                <w:szCs w:val="19"/>
              </w:rPr>
              <w:t xml:space="preserve">16% of employees are not proficient in their current roles (AHRI, 2025). Standard interviews cannot identify the judgement capacity gap.</w:t>
            </w:r>
          </w:p>
        </w:tc>
        <w:tc>
          <w:tcPr>
            <w:tcW w:type="dxa" w:w="2520"/>
            <w:tcBorders>
              <w:top w:val="single" w:color="CCCCCC" w:sz="1"/>
              <w:left w:val="single" w:color="CCCCCC" w:sz="1"/>
              <w:bottom w:val="single" w:color="CCCCCC" w:sz="1"/>
              <w:right w:val="single" w:color="CCCCCC" w:sz="1"/>
            </w:tcBorders>
            <w:shd w:fill="E6F4F1" w:val="clear"/>
            <w:tcMar>
              <w:top w:type="dxa" w:w="65"/>
              <w:left w:type="dxa" w:w="100"/>
              <w:bottom w:type="dxa" w:w="65"/>
              <w:right w:type="dxa" w:w="100"/>
            </w:tcMar>
          </w:tcPr>
          <w:p>
            <w:r>
              <w:rPr>
                <w:rFonts w:ascii="Arial" w:cs="Arial" w:eastAsia="Arial" w:hAnsi="Arial"/>
                <w:b w:val="false"/>
                <w:bCs w:val="false"/>
                <w:color w:val="1A1A2E"/>
                <w:sz w:val="19"/>
                <w:szCs w:val="19"/>
              </w:rPr>
              <w:t xml:space="preserve">Role Identity, Concept Balance, Stress &amp; Coping - the first-principles profile that predicts sustained performance in the specific role</w:t>
            </w:r>
          </w:p>
        </w:tc>
        <w:tc>
          <w:tcPr>
            <w:tcW w:type="dxa" w:w="3060"/>
            <w:tcBorders>
              <w:top w:val="single" w:color="CCCCCC" w:sz="1"/>
              <w:left w:val="single" w:color="CCCCCC" w:sz="1"/>
              <w:bottom w:val="single" w:color="CCCCCC" w:sz="1"/>
              <w:right w:val="single" w:color="CCCCCC" w:sz="1"/>
            </w:tcBorders>
            <w:shd w:fill="E8F5EE" w:val="clear"/>
            <w:tcMar>
              <w:top w:type="dxa" w:w="65"/>
              <w:left w:type="dxa" w:w="100"/>
              <w:bottom w:type="dxa" w:w="65"/>
              <w:right w:type="dxa" w:w="100"/>
            </w:tcMar>
          </w:tcPr>
          <w:p>
            <w:r>
              <w:rPr>
                <w:rFonts w:ascii="Arial" w:cs="Arial" w:eastAsia="Arial" w:hAnsi="Arial"/>
                <w:b w:val="false"/>
                <w:bCs w:val="false"/>
                <w:color w:val="1A1A2E"/>
                <w:sz w:val="19"/>
                <w:szCs w:val="19"/>
              </w:rPr>
              <w:t xml:space="preserve">Reduces the hiring error rate by identifying candidates whose value structure matches the role’s judgement demands, not just its skill requirements</w:t>
            </w:r>
          </w:p>
        </w:tc>
      </w:tr>
      <w:tr>
        <w:tc>
          <w:tcPr>
            <w:tcW w:type="dxa" w:w="1260"/>
            <w:tcBorders>
              <w:top w:val="single" w:color="CCCCCC" w:sz="1"/>
              <w:left w:val="single" w:color="CCCCCC" w:sz="1"/>
              <w:bottom w:val="single" w:color="CCCCCC" w:sz="1"/>
              <w:right w:val="single" w:color="CCCCCC" w:sz="1"/>
            </w:tcBorders>
            <w:shd w:fill="E8EDF5" w:val="clear"/>
            <w:tcMar>
              <w:top w:type="dxa" w:w="65"/>
              <w:left w:type="dxa" w:w="100"/>
              <w:bottom w:type="dxa" w:w="65"/>
              <w:right w:type="dxa" w:w="100"/>
            </w:tcMar>
          </w:tcPr>
          <w:p>
            <w:r>
              <w:rPr>
                <w:rFonts w:ascii="Arial" w:cs="Arial" w:eastAsia="Arial" w:hAnsi="Arial"/>
                <w:b/>
                <w:bCs/>
                <w:color w:val="1B3A6B"/>
                <w:sz w:val="19"/>
                <w:szCs w:val="19"/>
              </w:rPr>
              <w:t xml:space="preserve">Retention</w:t>
            </w:r>
          </w:p>
        </w:tc>
        <w:tc>
          <w:tcPr>
            <w:tcW w:type="dxa" w:w="2520"/>
            <w:tcBorders>
              <w:top w:val="single" w:color="CCCCCC" w:sz="1"/>
              <w:left w:val="single" w:color="CCCCCC" w:sz="1"/>
              <w:bottom w:val="single" w:color="CCCCCC" w:sz="1"/>
              <w:right w:val="single" w:color="CCCCCC" w:sz="1"/>
            </w:tcBorders>
            <w:shd w:fill="EEF2F8" w:val="clear"/>
            <w:tcMar>
              <w:top w:type="dxa" w:w="65"/>
              <w:left w:type="dxa" w:w="100"/>
              <w:bottom w:type="dxa" w:w="65"/>
              <w:right w:type="dxa" w:w="100"/>
            </w:tcMar>
          </w:tcPr>
          <w:p>
            <w:r>
              <w:rPr>
                <w:rFonts w:ascii="Arial" w:cs="Arial" w:eastAsia="Arial" w:hAnsi="Arial"/>
                <w:b w:val="false"/>
                <w:bCs w:val="false"/>
                <w:color w:val="1A1A2E"/>
                <w:sz w:val="19"/>
                <w:szCs w:val="19"/>
              </w:rPr>
              <w:t xml:space="preserve">Excessive workload (26%) is the #1 departure reason. The people most likely to leave are often those most committed - the ones absorbing the most.</w:t>
            </w:r>
          </w:p>
        </w:tc>
        <w:tc>
          <w:tcPr>
            <w:tcW w:type="dxa" w:w="2520"/>
            <w:tcBorders>
              <w:top w:val="single" w:color="CCCCCC" w:sz="1"/>
              <w:left w:val="single" w:color="CCCCCC" w:sz="1"/>
              <w:bottom w:val="single" w:color="CCCCCC" w:sz="1"/>
              <w:right w:val="single" w:color="CCCCCC" w:sz="1"/>
            </w:tcBorders>
            <w:shd w:fill="E6F4F1" w:val="clear"/>
            <w:tcMar>
              <w:top w:type="dxa" w:w="65"/>
              <w:left w:type="dxa" w:w="100"/>
              <w:bottom w:type="dxa" w:w="65"/>
              <w:right w:type="dxa" w:w="100"/>
            </w:tcMar>
          </w:tcPr>
          <w:p>
            <w:r>
              <w:rPr>
                <w:rFonts w:ascii="Arial" w:cs="Arial" w:eastAsia="Arial" w:hAnsi="Arial"/>
                <w:b w:val="false"/>
                <w:bCs w:val="false"/>
                <w:color w:val="1A1A2E"/>
                <w:sz w:val="19"/>
                <w:szCs w:val="19"/>
              </w:rPr>
              <w:t xml:space="preserve">Self-Care, Meaningfulness of Work, Self-Regard - identifying who is carrying unsustainable load before it becomes a resignation</w:t>
            </w:r>
          </w:p>
        </w:tc>
        <w:tc>
          <w:tcPr>
            <w:tcW w:type="dxa" w:w="3060"/>
            <w:tcBorders>
              <w:top w:val="single" w:color="CCCCCC" w:sz="1"/>
              <w:left w:val="single" w:color="CCCCCC" w:sz="1"/>
              <w:bottom w:val="single" w:color="CCCCCC" w:sz="1"/>
              <w:right w:val="single" w:color="CCCCCC" w:sz="1"/>
            </w:tcBorders>
            <w:shd w:fill="E8F5EE" w:val="clear"/>
            <w:tcMar>
              <w:top w:type="dxa" w:w="65"/>
              <w:left w:type="dxa" w:w="100"/>
              <w:bottom w:type="dxa" w:w="65"/>
              <w:right w:type="dxa" w:w="100"/>
            </w:tcMar>
          </w:tcPr>
          <w:p>
            <w:r>
              <w:rPr>
                <w:rFonts w:ascii="Arial" w:cs="Arial" w:eastAsia="Arial" w:hAnsi="Arial"/>
                <w:b w:val="false"/>
                <w:bCs w:val="false"/>
                <w:color w:val="1A1A2E"/>
                <w:sz w:val="19"/>
                <w:szCs w:val="19"/>
              </w:rPr>
              <w:t xml:space="preserve">Converts retention from reactive (responding to departures) to predictive (identifying and acting on risk 6–12 months before the decision is made</w:t>
            </w:r>
          </w:p>
        </w:tc>
      </w:tr>
      <w:tr>
        <w:tc>
          <w:tcPr>
            <w:tcW w:type="dxa" w:w="1260"/>
            <w:tcBorders>
              <w:top w:val="single" w:color="CCCCCC" w:sz="1"/>
              <w:left w:val="single" w:color="CCCCCC" w:sz="1"/>
              <w:bottom w:val="single" w:color="CCCCCC" w:sz="1"/>
              <w:right w:val="single" w:color="CCCCCC" w:sz="1"/>
            </w:tcBorders>
            <w:shd w:fill="E8EDF5" w:val="clear"/>
            <w:tcMar>
              <w:top w:type="dxa" w:w="65"/>
              <w:left w:type="dxa" w:w="100"/>
              <w:bottom w:type="dxa" w:w="65"/>
              <w:right w:type="dxa" w:w="100"/>
            </w:tcMar>
          </w:tcPr>
          <w:p>
            <w:r>
              <w:rPr>
                <w:rFonts w:ascii="Arial" w:cs="Arial" w:eastAsia="Arial" w:hAnsi="Arial"/>
                <w:b/>
                <w:bCs/>
                <w:color w:val="1B3A6B"/>
                <w:sz w:val="19"/>
                <w:szCs w:val="19"/>
              </w:rPr>
              <w:t xml:space="preserve">Reorganisation</w:t>
            </w:r>
          </w:p>
        </w:tc>
        <w:tc>
          <w:tcPr>
            <w:tcW w:type="dxa" w:w="2520"/>
            <w:tcBorders>
              <w:top w:val="single" w:color="CCCCCC" w:sz="1"/>
              <w:left w:val="single" w:color="CCCCCC" w:sz="1"/>
              <w:bottom w:val="single" w:color="CCCCCC" w:sz="1"/>
              <w:right w:val="single" w:color="CCCCCC" w:sz="1"/>
            </w:tcBorders>
            <w:shd w:fill="EEF2F8" w:val="clear"/>
            <w:tcMar>
              <w:top w:type="dxa" w:w="65"/>
              <w:left w:type="dxa" w:w="100"/>
              <w:bottom w:type="dxa" w:w="65"/>
              <w:right w:type="dxa" w:w="100"/>
            </w:tcMar>
          </w:tcPr>
          <w:p>
            <w:r>
              <w:rPr>
                <w:rFonts w:ascii="Arial" w:cs="Arial" w:eastAsia="Arial" w:hAnsi="Arial"/>
                <w:b w:val="false"/>
                <w:bCs w:val="false"/>
                <w:color w:val="1A1A2E"/>
                <w:sz w:val="19"/>
                <w:szCs w:val="19"/>
              </w:rPr>
              <w:t xml:space="preserve">9 in 10 organisations expect major role changes. Restructure consistently removes the wrong people and retains the wrong ones.</w:t>
            </w:r>
          </w:p>
        </w:tc>
        <w:tc>
          <w:tcPr>
            <w:tcW w:type="dxa" w:w="2520"/>
            <w:tcBorders>
              <w:top w:val="single" w:color="CCCCCC" w:sz="1"/>
              <w:left w:val="single" w:color="CCCCCC" w:sz="1"/>
              <w:bottom w:val="single" w:color="CCCCCC" w:sz="1"/>
              <w:right w:val="single" w:color="CCCCCC" w:sz="1"/>
            </w:tcBorders>
            <w:shd w:fill="E6F4F1" w:val="clear"/>
            <w:tcMar>
              <w:top w:type="dxa" w:w="65"/>
              <w:left w:type="dxa" w:w="100"/>
              <w:bottom w:type="dxa" w:w="65"/>
              <w:right w:type="dxa" w:w="100"/>
            </w:tcMar>
          </w:tcPr>
          <w:p>
            <w:r>
              <w:rPr>
                <w:rFonts w:ascii="Arial" w:cs="Arial" w:eastAsia="Arial" w:hAnsi="Arial"/>
                <w:b w:val="false"/>
                <w:bCs w:val="false"/>
                <w:color w:val="1A1A2E"/>
                <w:sz w:val="19"/>
                <w:szCs w:val="19"/>
              </w:rPr>
              <w:t xml:space="preserve">Concept Balance, Moral Clarity, Assertiveness - who will maintain values stability and ethical clarity under the pressure of change</w:t>
            </w:r>
          </w:p>
        </w:tc>
        <w:tc>
          <w:tcPr>
            <w:tcW w:type="dxa" w:w="3060"/>
            <w:tcBorders>
              <w:top w:val="single" w:color="CCCCCC" w:sz="1"/>
              <w:left w:val="single" w:color="CCCCCC" w:sz="1"/>
              <w:bottom w:val="single" w:color="CCCCCC" w:sz="1"/>
              <w:right w:val="single" w:color="CCCCCC" w:sz="1"/>
            </w:tcBorders>
            <w:shd w:fill="E8F5EE" w:val="clear"/>
            <w:tcMar>
              <w:top w:type="dxa" w:w="65"/>
              <w:left w:type="dxa" w:w="100"/>
              <w:bottom w:type="dxa" w:w="65"/>
              <w:right w:type="dxa" w:w="100"/>
            </w:tcMar>
          </w:tcPr>
          <w:p>
            <w:r>
              <w:rPr>
                <w:rFonts w:ascii="Arial" w:cs="Arial" w:eastAsia="Arial" w:hAnsi="Arial"/>
                <w:b w:val="false"/>
                <w:bCs w:val="false"/>
                <w:color w:val="1A1A2E"/>
                <w:sz w:val="19"/>
                <w:szCs w:val="19"/>
              </w:rPr>
              <w:t xml:space="preserve">Informs restructure decisions with first-principles leadership capacity data, not just role, seniority or cost</w:t>
            </w:r>
          </w:p>
        </w:tc>
      </w:tr>
      <w:tr>
        <w:tc>
          <w:tcPr>
            <w:tcW w:type="dxa" w:w="1260"/>
            <w:tcBorders>
              <w:top w:val="single" w:color="CCCCCC" w:sz="1"/>
              <w:left w:val="single" w:color="CCCCCC" w:sz="1"/>
              <w:bottom w:val="single" w:color="CCCCCC" w:sz="1"/>
              <w:right w:val="single" w:color="CCCCCC" w:sz="1"/>
            </w:tcBorders>
            <w:shd w:fill="E8EDF5" w:val="clear"/>
            <w:tcMar>
              <w:top w:type="dxa" w:w="65"/>
              <w:left w:type="dxa" w:w="100"/>
              <w:bottom w:type="dxa" w:w="65"/>
              <w:right w:type="dxa" w:w="100"/>
            </w:tcMar>
          </w:tcPr>
          <w:p>
            <w:r>
              <w:rPr>
                <w:rFonts w:ascii="Arial" w:cs="Arial" w:eastAsia="Arial" w:hAnsi="Arial"/>
                <w:b/>
                <w:bCs/>
                <w:color w:val="1B3A6B"/>
                <w:sz w:val="19"/>
                <w:szCs w:val="19"/>
              </w:rPr>
              <w:t xml:space="preserve">Reskilling</w:t>
            </w:r>
          </w:p>
        </w:tc>
        <w:tc>
          <w:tcPr>
            <w:tcW w:type="dxa" w:w="2520"/>
            <w:tcBorders>
              <w:top w:val="single" w:color="CCCCCC" w:sz="1"/>
              <w:left w:val="single" w:color="CCCCCC" w:sz="1"/>
              <w:bottom w:val="single" w:color="CCCCCC" w:sz="1"/>
              <w:right w:val="single" w:color="CCCCCC" w:sz="1"/>
            </w:tcBorders>
            <w:shd w:fill="EEF2F8" w:val="clear"/>
            <w:tcMar>
              <w:top w:type="dxa" w:w="65"/>
              <w:left w:type="dxa" w:w="100"/>
              <w:bottom w:type="dxa" w:w="65"/>
              <w:right w:type="dxa" w:w="100"/>
            </w:tcMar>
          </w:tcPr>
          <w:p>
            <w:r>
              <w:rPr>
                <w:rFonts w:ascii="Arial" w:cs="Arial" w:eastAsia="Arial" w:hAnsi="Arial"/>
                <w:b w:val="false"/>
                <w:bCs w:val="false"/>
                <w:color w:val="1A1A2E"/>
                <w:sz w:val="19"/>
                <w:szCs w:val="19"/>
              </w:rPr>
              <w:t xml:space="preserve">93% using AI. 75% training staff in AI tools. The capacity to reskill sustainably varies dramatically between individuals.</w:t>
            </w:r>
          </w:p>
        </w:tc>
        <w:tc>
          <w:tcPr>
            <w:tcW w:type="dxa" w:w="2520"/>
            <w:tcBorders>
              <w:top w:val="single" w:color="CCCCCC" w:sz="1"/>
              <w:left w:val="single" w:color="CCCCCC" w:sz="1"/>
              <w:bottom w:val="single" w:color="CCCCCC" w:sz="1"/>
              <w:right w:val="single" w:color="CCCCCC" w:sz="1"/>
            </w:tcBorders>
            <w:shd w:fill="E6F4F1" w:val="clear"/>
            <w:tcMar>
              <w:top w:type="dxa" w:w="65"/>
              <w:left w:type="dxa" w:w="100"/>
              <w:bottom w:type="dxa" w:w="65"/>
              <w:right w:type="dxa" w:w="100"/>
            </w:tcMar>
          </w:tcPr>
          <w:p>
            <w:r>
              <w:rPr>
                <w:rFonts w:ascii="Arial" w:cs="Arial" w:eastAsia="Arial" w:hAnsi="Arial"/>
                <w:b w:val="false"/>
                <w:bCs w:val="false"/>
                <w:color w:val="1A1A2E"/>
                <w:sz w:val="19"/>
                <w:szCs w:val="19"/>
              </w:rPr>
              <w:t xml:space="preserve">Role Identity, Concept Balance, Solving Personal Problems - who has the value structure to adapt successfully and who will resist or disengage</w:t>
            </w:r>
          </w:p>
        </w:tc>
        <w:tc>
          <w:tcPr>
            <w:tcW w:type="dxa" w:w="3060"/>
            <w:tcBorders>
              <w:top w:val="single" w:color="CCCCCC" w:sz="1"/>
              <w:left w:val="single" w:color="CCCCCC" w:sz="1"/>
              <w:bottom w:val="single" w:color="CCCCCC" w:sz="1"/>
              <w:right w:val="single" w:color="CCCCCC" w:sz="1"/>
            </w:tcBorders>
            <w:shd w:fill="E8F5EE" w:val="clear"/>
            <w:tcMar>
              <w:top w:type="dxa" w:w="65"/>
              <w:left w:type="dxa" w:w="100"/>
              <w:bottom w:type="dxa" w:w="65"/>
              <w:right w:type="dxa" w:w="100"/>
            </w:tcMar>
          </w:tcPr>
          <w:p>
            <w:r>
              <w:rPr>
                <w:rFonts w:ascii="Arial" w:cs="Arial" w:eastAsia="Arial" w:hAnsi="Arial"/>
                <w:b w:val="false"/>
                <w:bCs w:val="false"/>
                <w:color w:val="1A1A2E"/>
                <w:sz w:val="19"/>
                <w:szCs w:val="19"/>
              </w:rPr>
              <w:t xml:space="preserve">Directs reskilling investment to those with the highest adaptation capacity. Prevents the reskilling failure that occurs when the investment does not match the individual’s readiness</w:t>
            </w:r>
          </w:p>
        </w:tc>
      </w:tr>
      <w:tr>
        <w:tc>
          <w:tcPr>
            <w:tcW w:type="dxa" w:w="1260"/>
            <w:tcBorders>
              <w:top w:val="single" w:color="CCCCCC" w:sz="1"/>
              <w:left w:val="single" w:color="CCCCCC" w:sz="1"/>
              <w:bottom w:val="single" w:color="CCCCCC" w:sz="1"/>
              <w:right w:val="single" w:color="CCCCCC" w:sz="1"/>
            </w:tcBorders>
            <w:shd w:fill="E8EDF5" w:val="clear"/>
            <w:tcMar>
              <w:top w:type="dxa" w:w="65"/>
              <w:left w:type="dxa" w:w="100"/>
              <w:bottom w:type="dxa" w:w="65"/>
              <w:right w:type="dxa" w:w="100"/>
            </w:tcMar>
          </w:tcPr>
          <w:p>
            <w:r>
              <w:rPr>
                <w:rFonts w:ascii="Arial" w:cs="Arial" w:eastAsia="Arial" w:hAnsi="Arial"/>
                <w:b/>
                <w:bCs/>
                <w:color w:val="1B3A6B"/>
                <w:sz w:val="19"/>
                <w:szCs w:val="19"/>
              </w:rPr>
              <w:t xml:space="preserve">Redundancy</w:t>
            </w:r>
          </w:p>
        </w:tc>
        <w:tc>
          <w:tcPr>
            <w:tcW w:type="dxa" w:w="2520"/>
            <w:tcBorders>
              <w:top w:val="single" w:color="CCCCCC" w:sz="1"/>
              <w:left w:val="single" w:color="CCCCCC" w:sz="1"/>
              <w:bottom w:val="single" w:color="CCCCCC" w:sz="1"/>
              <w:right w:val="single" w:color="CCCCCC" w:sz="1"/>
            </w:tcBorders>
            <w:shd w:fill="EEF2F8" w:val="clear"/>
            <w:tcMar>
              <w:top w:type="dxa" w:w="65"/>
              <w:left w:type="dxa" w:w="100"/>
              <w:bottom w:type="dxa" w:w="65"/>
              <w:right w:type="dxa" w:w="100"/>
            </w:tcMar>
          </w:tcPr>
          <w:p>
            <w:r>
              <w:rPr>
                <w:rFonts w:ascii="Arial" w:cs="Arial" w:eastAsia="Arial" w:hAnsi="Arial"/>
                <w:b w:val="false"/>
                <w:bCs w:val="false"/>
                <w:color w:val="1A1A2E"/>
                <w:sz w:val="19"/>
                <w:szCs w:val="19"/>
              </w:rPr>
              <w:t xml:space="preserve">27% planning redundancies while also hiring. Redundancy decisions made on the wrong basis remove high-judgement-capacity people.</w:t>
            </w:r>
          </w:p>
        </w:tc>
        <w:tc>
          <w:tcPr>
            <w:tcW w:type="dxa" w:w="2520"/>
            <w:tcBorders>
              <w:top w:val="single" w:color="CCCCCC" w:sz="1"/>
              <w:left w:val="single" w:color="CCCCCC" w:sz="1"/>
              <w:bottom w:val="single" w:color="CCCCCC" w:sz="1"/>
              <w:right w:val="single" w:color="CCCCCC" w:sz="1"/>
            </w:tcBorders>
            <w:shd w:fill="E6F4F1" w:val="clear"/>
            <w:tcMar>
              <w:top w:type="dxa" w:w="65"/>
              <w:left w:type="dxa" w:w="100"/>
              <w:bottom w:type="dxa" w:w="65"/>
              <w:right w:type="dxa" w:w="100"/>
            </w:tcMar>
          </w:tcPr>
          <w:p>
            <w:r>
              <w:rPr>
                <w:rFonts w:ascii="Arial" w:cs="Arial" w:eastAsia="Arial" w:hAnsi="Arial"/>
                <w:b w:val="false"/>
                <w:bCs w:val="false"/>
                <w:color w:val="1A1A2E"/>
                <w:sz w:val="19"/>
                <w:szCs w:val="19"/>
              </w:rPr>
              <w:t xml:space="preserve">Moral Clarity, Assertiveness, Concept Balance - who has the ethical weight to manage redundancy fairly and who will mishandle it</w:t>
            </w:r>
          </w:p>
        </w:tc>
        <w:tc>
          <w:tcPr>
            <w:tcW w:type="dxa" w:w="3060"/>
            <w:tcBorders>
              <w:top w:val="single" w:color="CCCCCC" w:sz="1"/>
              <w:left w:val="single" w:color="CCCCCC" w:sz="1"/>
              <w:bottom w:val="single" w:color="CCCCCC" w:sz="1"/>
              <w:right w:val="single" w:color="CCCCCC" w:sz="1"/>
            </w:tcBorders>
            <w:shd w:fill="E8F5EE" w:val="clear"/>
            <w:tcMar>
              <w:top w:type="dxa" w:w="65"/>
              <w:left w:type="dxa" w:w="100"/>
              <w:bottom w:type="dxa" w:w="65"/>
              <w:right w:type="dxa" w:w="100"/>
            </w:tcMar>
          </w:tcPr>
          <w:p>
            <w:r>
              <w:rPr>
                <w:rFonts w:ascii="Arial" w:cs="Arial" w:eastAsia="Arial" w:hAnsi="Arial"/>
                <w:b w:val="false"/>
                <w:bCs w:val="false"/>
                <w:color w:val="1A1A2E"/>
                <w:sz w:val="19"/>
                <w:szCs w:val="19"/>
              </w:rPr>
              <w:t xml:space="preserve">Protects the organisation during its most legally and humanly exposed process. Zero grievances vs multiple grievances is the documented difference between JI-informed and non-JI redundancy processes</w:t>
            </w:r>
          </w:p>
        </w:tc>
      </w:tr>
    </w:tbl>
    <w:p>
      <w:pPr>
        <w:spacing w:after="0" w:before="7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EF2F8" w:val="clear"/>
            <w:tcMar>
              <w:top w:type="dxa" w:w="140"/>
              <w:left w:type="dxa" w:w="180"/>
              <w:bottom w:type="dxa" w:w="140"/>
              <w:right w:type="dxa" w:w="180"/>
            </w:tcMar>
          </w:tcPr>
          <w:p>
            <w:pPr>
              <w:spacing w:after="80" w:before="0"/>
            </w:pPr>
            <w:r>
              <w:rPr>
                <w:rFonts w:ascii="Arial" w:cs="Arial" w:eastAsia="Arial" w:hAnsi="Arial"/>
                <w:b/>
                <w:bCs/>
                <w:color w:val="28374F"/>
                <w:sz w:val="22"/>
                <w:szCs w:val="22"/>
              </w:rPr>
              <w:t xml:space="preserve">Key References — White Paper 6</w:t>
            </w:r>
          </w:p>
          <w:p>
            <w:pPr>
              <w:pStyle w:val="ListParagraph"/>
              <w:keepLines/>
              <w:numPr>
                <w:ilvl w:val="0"/>
                <w:numId w:val="2"/>
              </w:numPr>
              <w:spacing w:after="44" w:before="44"/>
            </w:pPr>
            <w:r>
              <w:rPr>
                <w:rFonts w:ascii="Arial" w:cs="Arial" w:eastAsia="Arial" w:hAnsi="Arial"/>
                <w:color w:val="1A1A2E"/>
                <w:sz w:val="21"/>
                <w:szCs w:val="21"/>
              </w:rPr>
              <w:t xml:space="preserve">AHRI (2025). Quarterly Australian Work Outlook, September 2025: The 5Rs Effect. ahri.com.au</w:t>
            </w:r>
          </w:p>
          <w:p>
            <w:pPr>
              <w:pStyle w:val="ListParagraph"/>
              <w:keepLines/>
              <w:numPr>
                <w:ilvl w:val="0"/>
                <w:numId w:val="2"/>
              </w:numPr>
              <w:spacing w:after="44" w:before="44"/>
            </w:pPr>
            <w:r>
              <w:rPr>
                <w:rFonts w:ascii="Arial" w:cs="Arial" w:eastAsia="Arial" w:hAnsi="Arial"/>
                <w:color w:val="1A1A2E"/>
                <w:sz w:val="21"/>
                <w:szCs w:val="21"/>
              </w:rPr>
              <w:t xml:space="preserve">AHRI (2025). Quarterly Australian Work Outlook, March 2025. ahri.com.au</w:t>
            </w:r>
          </w:p>
          <w:p>
            <w:pPr>
              <w:pStyle w:val="ListParagraph"/>
              <w:keepLines/>
              <w:numPr>
                <w:ilvl w:val="0"/>
                <w:numId w:val="2"/>
              </w:numPr>
              <w:spacing w:after="44" w:before="44"/>
            </w:pPr>
            <w:r>
              <w:rPr>
                <w:rFonts w:ascii="Arial" w:cs="Arial" w:eastAsia="Arial" w:hAnsi="Arial"/>
                <w:color w:val="1A1A2E"/>
                <w:sz w:val="21"/>
                <w:szCs w:val="21"/>
              </w:rPr>
              <w:t xml:space="preserve">Safe Work Australia: Model WHS Regulations — Psychosocial Hazards (2022–2023).</w:t>
            </w:r>
          </w:p>
          <w:p>
            <w:pPr>
              <w:pStyle w:val="ListParagraph"/>
              <w:keepLines/>
              <w:numPr>
                <w:ilvl w:val="0"/>
                <w:numId w:val="2"/>
              </w:numPr>
              <w:spacing w:after="44" w:before="44"/>
            </w:pPr>
            <w:r>
              <w:rPr>
                <w:rFonts w:ascii="Arial" w:cs="Arial" w:eastAsia="Arial" w:hAnsi="Arial"/>
                <w:color w:val="1A1A2E"/>
                <w:sz w:val="21"/>
                <w:szCs w:val="21"/>
              </w:rPr>
              <w:t xml:space="preserve">World Economic Forum (2025). Future of Jobs Report 2025. weforum.org</w:t>
            </w:r>
          </w:p>
          <w:p>
            <w:pPr>
              <w:pStyle w:val="ListParagraph"/>
              <w:keepLines/>
              <w:numPr>
                <w:ilvl w:val="0"/>
                <w:numId w:val="2"/>
              </w:numPr>
              <w:spacing w:after="44" w:before="44"/>
            </w:pPr>
            <w:r>
              <w:rPr>
                <w:rFonts w:ascii="Arial" w:cs="Arial" w:eastAsia="Arial" w:hAnsi="Arial"/>
                <w:color w:val="1A1A2E"/>
                <w:sz w:val="21"/>
                <w:szCs w:val="21"/>
              </w:rPr>
              <w:t xml:space="preserve">McKinsey &amp; Company (2025). AI in the Workplace: Superagency. mckinsey.com</w:t>
            </w:r>
          </w:p>
          <w:p>
            <w:pPr>
              <w:pStyle w:val="ListParagraph"/>
              <w:keepLines/>
              <w:numPr>
                <w:ilvl w:val="0"/>
                <w:numId w:val="2"/>
              </w:numPr>
              <w:spacing w:after="44" w:before="44"/>
            </w:pPr>
            <w:r>
              <w:rPr>
                <w:rFonts w:ascii="Arial" w:cs="Arial" w:eastAsia="Arial" w:hAnsi="Arial"/>
                <w:color w:val="1A1A2E"/>
                <w:sz w:val="21"/>
                <w:szCs w:val="21"/>
              </w:rPr>
              <w:t xml:space="preserve">Strategic HR Australia (2025). Employee Replacement Cost Research.</w:t>
            </w:r>
          </w:p>
        </w:tc>
      </w:tr>
    </w:tbl>
    <w:p>
      <w:pPr>
        <w:spacing w:after="0" w:before="55"/>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D7A6B" w:sz="1"/>
              <w:left w:val="single" w:color="0D7A6B" w:sz="1"/>
              <w:bottom w:val="single" w:color="0D7A6B" w:sz="1"/>
              <w:right w:val="single" w:color="0D7A6B" w:sz="1"/>
            </w:tcBorders>
            <w:shd w:fill="E6F4F1" w:val="clear"/>
            <w:tcMar>
              <w:top w:type="dxa" w:w="160"/>
              <w:left w:type="dxa" w:w="200"/>
              <w:bottom w:type="dxa" w:w="160"/>
              <w:right w:type="dxa" w:w="200"/>
            </w:tcMar>
          </w:tcPr>
          <w:p>
            <w:pPr>
              <w:spacing w:after="60" w:before="0"/>
            </w:pPr>
            <w:r>
              <w:rPr>
                <w:rFonts w:ascii="Arial" w:cs="Arial" w:eastAsia="Arial" w:hAnsi="Arial"/>
                <w:b/>
                <w:bCs/>
                <w:color w:val="0D7A6B"/>
                <w:sz w:val="22"/>
                <w:szCs w:val="22"/>
              </w:rPr>
              <w:t xml:space="preserve">What to do next</w:t>
            </w:r>
          </w:p>
          <w:p>
            <w:pPr>
              <w:spacing w:after="50" w:before="0"/>
            </w:pPr>
            <w:r>
              <w:rPr>
                <w:rFonts w:ascii="Arial" w:cs="Arial" w:eastAsia="Arial" w:hAnsi="Arial"/>
                <w:color w:val="1A1A2E"/>
                <w:sz w:val="22"/>
                <w:szCs w:val="22"/>
              </w:rPr>
              <w:t xml:space="preserve">If your organisation is currently managing any of the 5Rs - and AHRI’s data suggests most Australian organisations are managing all five simultaneously - a 30-minute JIAU conversation will show you exactly where human judgement data can reduce the risk and cost of each one.</w:t>
            </w:r>
          </w:p>
          <w:p>
            <w:pPr>
              <w:spacing w:after="50" w:before="0"/>
            </w:pPr>
            <w:r>
              <w:rPr>
                <w:rFonts w:ascii="Arial" w:cs="Arial" w:eastAsia="Arial" w:hAnsi="Arial"/>
                <w:b/>
                <w:bCs/>
                <w:color w:val="0D7A6B"/>
                <w:sz w:val="22"/>
                <w:szCs w:val="22"/>
              </w:rPr>
              <w:t xml:space="preserve">Book a 5Rs Discovery Conversation: jiau.com.au/book</w:t>
            </w:r>
          </w:p>
          <w:p>
            <w:pPr>
              <w:spacing w:after="0" w:before="0"/>
            </w:pPr>
            <w:r>
              <w:rPr>
                <w:rFonts w:ascii="Arial" w:cs="Arial" w:eastAsia="Arial" w:hAnsi="Arial"/>
                <w:i/>
                <w:iCs/>
                <w:color w:val="4A5568"/>
                <w:sz w:val="20"/>
                <w:szCs w:val="20"/>
              </w:rPr>
              <w:t xml:space="preserve">Book at: jiau.com.au  ·  Or call: 1300 677 572  ·  Or email: info@jiau.com.au</w:t>
            </w:r>
          </w:p>
        </w:tc>
      </w:tr>
    </w:tbl>
    <w:p>
      <w:r>
        <w:br w:type="page"/>
      </w:r>
    </w:p>
    <w:p>
      <w:pPr>
        <w:pStyle w:val="Heading1"/>
        <w:pageBreakBefore/>
        <w:spacing w:after="110" w:before="0"/>
      </w:pPr>
      <w:r>
        <w:rPr>
          <w:rFonts w:ascii="Arial" w:cs="Arial" w:eastAsia="Arial" w:hAnsi="Arial"/>
          <w:b/>
          <w:bCs/>
          <w:color w:val="1B3A6B"/>
          <w:sz w:val="34"/>
          <w:szCs w:val="34"/>
        </w:rPr>
        <w:t xml:space="preserve">White Paper 7: First Principles Leadership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thick" w:color="50288A" w:sz="12"/>
              <w:left w:val="thick" w:color="50288A" w:sz="12"/>
              <w:bottom w:val="thick" w:color="50288A" w:sz="12"/>
              <w:right w:val="thick" w:color="50288A" w:sz="12"/>
            </w:tcBorders>
            <w:shd w:fill="F0EBF9" w:val="clear"/>
            <w:tcMar>
              <w:top w:type="dxa" w:w="200"/>
              <w:left w:type="dxa" w:w="240"/>
              <w:bottom w:type="dxa" w:w="200"/>
              <w:right w:type="dxa" w:w="240"/>
            </w:tcMar>
          </w:tcPr>
          <w:p>
            <w:pPr>
              <w:spacing w:after="14" w:before="0"/>
            </w:pPr>
            <w:r>
              <w:rPr>
                <w:rFonts w:ascii="Arial" w:cs="Arial" w:eastAsia="Arial" w:hAnsi="Arial"/>
                <w:b/>
                <w:bCs/>
                <w:color w:val="50288A"/>
                <w:sz w:val="18"/>
                <w:szCs w:val="18"/>
              </w:rPr>
              <w:t xml:space="preserve">WHITE PAPER 7 OF 10</w:t>
            </w:r>
          </w:p>
          <w:p>
            <w:pPr>
              <w:spacing w:after="24" w:before="0"/>
            </w:pPr>
            <w:r>
              <w:rPr>
                <w:rFonts w:ascii="Arial" w:cs="Arial" w:eastAsia="Arial" w:hAnsi="Arial"/>
                <w:b/>
                <w:bCs/>
                <w:color w:val="1B3A6B"/>
                <w:sz w:val="32"/>
                <w:szCs w:val="32"/>
              </w:rPr>
              <w:t xml:space="preserve">First Principles Leadership</w:t>
            </w:r>
          </w:p>
          <w:p>
            <w:pPr>
              <w:spacing w:after="40" w:before="0"/>
            </w:pPr>
            <w:r>
              <w:rPr>
                <w:rFonts w:ascii="Arial" w:cs="Arial" w:eastAsia="Arial" w:hAnsi="Arial"/>
                <w:i/>
                <w:iCs/>
                <w:color w:val="4A5568"/>
                <w:sz w:val="22"/>
                <w:szCs w:val="22"/>
              </w:rPr>
              <w:t xml:space="preserve">Why Standard Assessment Fails at Senior Level - And What Changes When You Measure What Actually Drives Leadership</w:t>
            </w:r>
          </w:p>
          <w:p>
            <w:pPr>
              <w:pBdr>
                <w:bottom w:val="single" w:color="50288A" w:sz="6" w:space="1"/>
              </w:pBdr>
              <w:spacing w:after="160" w:before="160"/>
            </w:pPr>
          </w:p>
          <w:p>
            <w:pPr>
              <w:spacing w:after="14" w:before="40"/>
            </w:pPr>
            <w:r>
              <w:rPr>
                <w:rFonts w:ascii="Arial" w:cs="Arial" w:eastAsia="Arial" w:hAnsi="Arial"/>
                <w:b/>
                <w:bCs/>
                <w:color w:val="50288A"/>
                <w:sz w:val="20"/>
                <w:szCs w:val="20"/>
              </w:rPr>
              <w:t xml:space="preserve">Primary audience: </w:t>
            </w:r>
            <w:r>
              <w:rPr>
                <w:rFonts w:ascii="Arial" w:cs="Arial" w:eastAsia="Arial" w:hAnsi="Arial"/>
                <w:color w:val="1A1A2E"/>
                <w:sz w:val="20"/>
                <w:szCs w:val="20"/>
              </w:rPr>
              <w:t xml:space="preserve">Executive Coaches, CHROs, Talent Leaders, L&amp;D Directors</w:t>
            </w:r>
          </w:p>
          <w:p>
            <w:pPr>
              <w:spacing w:after="14" w:before="0"/>
            </w:pPr>
            <w:r>
              <w:rPr>
                <w:rFonts w:ascii="Arial" w:cs="Arial" w:eastAsia="Arial" w:hAnsi="Arial"/>
                <w:b/>
                <w:bCs/>
                <w:color w:val="50288A"/>
                <w:sz w:val="20"/>
                <w:szCs w:val="20"/>
              </w:rPr>
              <w:t xml:space="preserve">Recommended gate: </w:t>
            </w:r>
            <w:r>
              <w:rPr>
                <w:rFonts w:ascii="Arial" w:cs="Arial" w:eastAsia="Arial" w:hAnsi="Arial"/>
                <w:color w:val="1A1A2E"/>
                <w:sz w:val="20"/>
                <w:szCs w:val="20"/>
              </w:rPr>
              <w:t xml:space="preserve">Work email address  ·  First name  ·  Organisation</w:t>
            </w:r>
          </w:p>
          <w:p>
            <w:pPr>
              <w:spacing w:after="14" w:before="0"/>
            </w:pPr>
            <w:r>
              <w:rPr>
                <w:rFonts w:ascii="Arial" w:cs="Arial" w:eastAsia="Arial" w:hAnsi="Arial"/>
                <w:b/>
                <w:bCs/>
                <w:color w:val="50288A"/>
                <w:sz w:val="20"/>
                <w:szCs w:val="20"/>
              </w:rPr>
              <w:t xml:space="preserve">Approximate length: </w:t>
            </w:r>
            <w:r>
              <w:rPr>
                <w:rFonts w:ascii="Arial" w:cs="Arial" w:eastAsia="Arial" w:hAnsi="Arial"/>
                <w:color w:val="1A1A2E"/>
                <w:sz w:val="20"/>
                <w:szCs w:val="20"/>
              </w:rPr>
              <w:t xml:space="preserve">1,400 words · 7 minute read</w:t>
            </w:r>
          </w:p>
          <w:p>
            <w:pPr>
              <w:spacing w:after="0" w:before="0"/>
            </w:pPr>
            <w:r>
              <w:rPr>
                <w:rFonts w:ascii="Arial" w:cs="Arial" w:eastAsia="Arial" w:hAnsi="Arial"/>
                <w:b/>
                <w:bCs/>
                <w:color w:val="50288A"/>
                <w:sz w:val="20"/>
                <w:szCs w:val="20"/>
              </w:rPr>
              <w:t xml:space="preserve">Publisher: </w:t>
            </w:r>
            <w:r>
              <w:rPr>
                <w:rFonts w:ascii="Arial" w:cs="Arial" w:eastAsia="Arial" w:hAnsi="Arial"/>
                <w:color w:val="1A1A2E"/>
                <w:sz w:val="20"/>
                <w:szCs w:val="20"/>
              </w:rPr>
              <w:t xml:space="preserve">Judgment Index Australia (JIAU)  ·  jiau.com.au  ·  © 2026</w:t>
            </w:r>
          </w:p>
        </w:tc>
      </w:tr>
    </w:tbl>
    <w:p>
      <w:pPr>
        <w:spacing w:after="0" w:before="70"/>
      </w:pPr>
    </w:p>
    <w:p>
      <w:pPr>
        <w:pStyle w:val="Heading2"/>
        <w:keepNext/>
        <w:spacing w:after="90" w:before="240"/>
      </w:pPr>
      <w:r>
        <w:rPr>
          <w:rFonts w:ascii="Arial" w:cs="Arial" w:eastAsia="Arial" w:hAnsi="Arial"/>
          <w:b/>
          <w:bCs/>
          <w:color w:val="50288A"/>
          <w:sz w:val="26"/>
          <w:szCs w:val="26"/>
        </w:rPr>
        <w:t xml:space="preserve">The Senior Leadership Assessment Failure</w:t>
      </w:r>
    </w:p>
    <w:p>
      <w:pPr>
        <w:spacing w:after="65" w:before="65"/>
      </w:pPr>
      <w:r>
        <w:rPr>
          <w:rFonts w:ascii="Arial" w:cs="Arial" w:eastAsia="Arial" w:hAnsi="Arial"/>
          <w:b w:val="false"/>
          <w:bCs w:val="false"/>
          <w:i w:val="false"/>
          <w:iCs w:val="false"/>
          <w:color w:val="1A1A2E"/>
          <w:sz w:val="22"/>
          <w:szCs w:val="22"/>
        </w:rPr>
        <w:t xml:space="preserve">There is a well-documented paradox in leadership assessment: the higher the level, the less useful standard assessment becomes. Personality profiles that work reasonably well for team leader selection become progressively less predictive as seniority increases. Competency frameworks that are useful for mid-level development become increasingly inadequate at executive level. 360-degree feedback that functions in a psychologically safe team becomes unreliable in the political environments that surround senior leaders.</w:t>
      </w:r>
    </w:p>
    <w:p>
      <w:pPr>
        <w:spacing w:after="0" w:before="55"/>
      </w:pPr>
    </w:p>
    <w:p>
      <w:pPr>
        <w:spacing w:after="65" w:before="65"/>
      </w:pPr>
      <w:r>
        <w:rPr>
          <w:rFonts w:ascii="Arial" w:cs="Arial" w:eastAsia="Arial" w:hAnsi="Arial"/>
          <w:b w:val="false"/>
          <w:bCs w:val="false"/>
          <w:i w:val="false"/>
          <w:iCs w:val="false"/>
          <w:color w:val="1A1A2E"/>
          <w:sz w:val="22"/>
          <w:szCs w:val="22"/>
        </w:rPr>
        <w:t xml:space="preserve">The reason is that senior leadership is defined by conditions where standard tools break down: high ambiguity, high pressure, high stakes and low clarity. These are exactly the conditions where personality descriptions are least predictive and first-principles measurement is most valuable.</w:t>
      </w:r>
    </w:p>
    <w:p>
      <w:pPr>
        <w:spacing w:after="0" w:before="70"/>
      </w:pPr>
    </w:p>
    <w:p>
      <w:pPr>
        <w:pStyle w:val="Heading2"/>
        <w:keepNext/>
        <w:spacing w:after="90" w:before="240"/>
      </w:pPr>
      <w:r>
        <w:rPr>
          <w:rFonts w:ascii="Arial" w:cs="Arial" w:eastAsia="Arial" w:hAnsi="Arial"/>
          <w:b/>
          <w:bCs/>
          <w:color w:val="1B3A6B"/>
          <w:sz w:val="26"/>
          <w:szCs w:val="26"/>
        </w:rPr>
        <w:t xml:space="preserve">Performance, Competency and First Principles: The Three Layers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160"/>
        <w:gridCol w:w="2880"/>
        <w:gridCol w:w="2880"/>
        <w:gridCol w:w="1440"/>
      </w:tblGrid>
      <w:tr>
        <w:tc>
          <w:tcPr>
            <w:tcW w:type="dxa" w:w="2160"/>
            <w:tcBorders>
              <w:top w:val="single" w:color="CCCCCC" w:sz="1"/>
              <w:left w:val="single" w:color="CCCCCC" w:sz="1"/>
              <w:bottom w:val="single" w:color="CCCCCC" w:sz="1"/>
              <w:right w:val="single" w:color="CCCCCC" w:sz="1"/>
            </w:tcBorders>
            <w:shd w:fill="1B3A6B" w:val="clear"/>
            <w:tcMar>
              <w:top w:type="dxa" w:w="85"/>
              <w:left w:type="dxa" w:w="100"/>
              <w:bottom w:type="dxa" w:w="85"/>
              <w:right w:type="dxa" w:w="100"/>
            </w:tcMar>
          </w:tcPr>
          <w:p>
            <w:r>
              <w:rPr>
                <w:rFonts w:ascii="Arial" w:cs="Arial" w:eastAsia="Arial" w:hAnsi="Arial"/>
                <w:b/>
                <w:bCs/>
                <w:color w:val="FFFFFF"/>
                <w:sz w:val="19"/>
                <w:szCs w:val="19"/>
              </w:rPr>
              <w:t xml:space="preserve">Layer</w:t>
            </w:r>
          </w:p>
        </w:tc>
        <w:tc>
          <w:tcPr>
            <w:tcW w:type="dxa" w:w="2880"/>
            <w:tcBorders>
              <w:top w:val="single" w:color="CCCCCC" w:sz="1"/>
              <w:left w:val="single" w:color="CCCCCC" w:sz="1"/>
              <w:bottom w:val="single" w:color="CCCCCC" w:sz="1"/>
              <w:right w:val="single" w:color="CCCCCC" w:sz="1"/>
            </w:tcBorders>
            <w:shd w:fill="1B3A6B" w:val="clear"/>
            <w:tcMar>
              <w:top w:type="dxa" w:w="85"/>
              <w:left w:type="dxa" w:w="100"/>
              <w:bottom w:type="dxa" w:w="85"/>
              <w:right w:type="dxa" w:w="100"/>
            </w:tcMar>
          </w:tcPr>
          <w:p>
            <w:r>
              <w:rPr>
                <w:rFonts w:ascii="Arial" w:cs="Arial" w:eastAsia="Arial" w:hAnsi="Arial"/>
                <w:b/>
                <w:bCs/>
                <w:color w:val="FFFFFF"/>
                <w:sz w:val="19"/>
                <w:szCs w:val="19"/>
              </w:rPr>
              <w:t xml:space="preserve">What It Tells You</w:t>
            </w:r>
          </w:p>
        </w:tc>
        <w:tc>
          <w:tcPr>
            <w:tcW w:type="dxa" w:w="2880"/>
            <w:tcBorders>
              <w:top w:val="single" w:color="CCCCCC" w:sz="1"/>
              <w:left w:val="single" w:color="CCCCCC" w:sz="1"/>
              <w:bottom w:val="single" w:color="CCCCCC" w:sz="1"/>
              <w:right w:val="single" w:color="CCCCCC" w:sz="1"/>
            </w:tcBorders>
            <w:shd w:fill="1B3A6B" w:val="clear"/>
            <w:tcMar>
              <w:top w:type="dxa" w:w="85"/>
              <w:left w:type="dxa" w:w="100"/>
              <w:bottom w:type="dxa" w:w="85"/>
              <w:right w:type="dxa" w:w="100"/>
            </w:tcMar>
          </w:tcPr>
          <w:p>
            <w:r>
              <w:rPr>
                <w:rFonts w:ascii="Arial" w:cs="Arial" w:eastAsia="Arial" w:hAnsi="Arial"/>
                <w:b/>
                <w:bCs/>
                <w:color w:val="FFFFFF"/>
                <w:sz w:val="19"/>
                <w:szCs w:val="19"/>
              </w:rPr>
              <w:t xml:space="preserve">What It Cannot Tell You</w:t>
            </w:r>
          </w:p>
        </w:tc>
        <w:tc>
          <w:tcPr>
            <w:tcW w:type="dxa" w:w="1440"/>
            <w:tcBorders>
              <w:top w:val="single" w:color="CCCCCC" w:sz="1"/>
              <w:left w:val="single" w:color="CCCCCC" w:sz="1"/>
              <w:bottom w:val="single" w:color="CCCCCC" w:sz="1"/>
              <w:right w:val="single" w:color="CCCCCC" w:sz="1"/>
            </w:tcBorders>
            <w:shd w:fill="1B3A6B" w:val="clear"/>
            <w:tcMar>
              <w:top w:type="dxa" w:w="85"/>
              <w:left w:type="dxa" w:w="100"/>
              <w:bottom w:type="dxa" w:w="85"/>
              <w:right w:type="dxa" w:w="100"/>
            </w:tcMar>
          </w:tcPr>
          <w:p>
            <w:r>
              <w:rPr>
                <w:rFonts w:ascii="Arial" w:cs="Arial" w:eastAsia="Arial" w:hAnsi="Arial"/>
                <w:b/>
                <w:bCs/>
                <w:color w:val="FFFFFF"/>
                <w:sz w:val="19"/>
                <w:szCs w:val="19"/>
              </w:rPr>
              <w:t xml:space="preserve">When It Fails</w:t>
            </w:r>
          </w:p>
        </w:tc>
      </w:tr>
      <w:tr>
        <w:tc>
          <w:tcPr>
            <w:tcW w:type="dxa" w:w="2160"/>
            <w:tcBorders>
              <w:top w:val="single" w:color="CCCCCC" w:sz="1"/>
              <w:left w:val="single" w:color="CCCCCC" w:sz="1"/>
              <w:bottom w:val="single" w:color="CCCCCC" w:sz="1"/>
              <w:right w:val="single" w:color="CCCCCC" w:sz="1"/>
            </w:tcBorders>
            <w:shd w:fill="EEF2F8" w:val="clear"/>
            <w:tcMar>
              <w:top w:type="dxa" w:w="65"/>
              <w:left w:type="dxa" w:w="100"/>
              <w:bottom w:type="dxa" w:w="65"/>
              <w:right w:type="dxa" w:w="100"/>
            </w:tcMar>
          </w:tcPr>
          <w:p>
            <w:r>
              <w:rPr>
                <w:rFonts w:ascii="Arial" w:cs="Arial" w:eastAsia="Arial" w:hAnsi="Arial"/>
                <w:b/>
                <w:bCs/>
                <w:color w:val="1B3A6B"/>
                <w:sz w:val="19"/>
                <w:szCs w:val="19"/>
              </w:rPr>
              <w:t xml:space="preserve">Performance Data</w:t>
            </w:r>
          </w:p>
        </w:tc>
        <w:tc>
          <w:tcPr>
            <w:tcW w:type="dxa" w:w="2880"/>
            <w:tcBorders>
              <w:top w:val="single" w:color="CCCCCC" w:sz="1"/>
              <w:left w:val="single" w:color="CCCCCC" w:sz="1"/>
              <w:bottom w:val="single" w:color="CCCCCC" w:sz="1"/>
              <w:right w:val="single" w:color="CCCCCC" w:sz="1"/>
            </w:tcBorders>
            <w:shd w:fill="FFF3DC" w:val="clear"/>
            <w:tcMar>
              <w:top w:type="dxa" w:w="65"/>
              <w:left w:type="dxa" w:w="100"/>
              <w:bottom w:type="dxa" w:w="65"/>
              <w:right w:type="dxa" w:w="100"/>
            </w:tcMar>
          </w:tcPr>
          <w:p>
            <w:r>
              <w:rPr>
                <w:rFonts w:ascii="Arial" w:cs="Arial" w:eastAsia="Arial" w:hAnsi="Arial"/>
                <w:b w:val="false"/>
                <w:bCs w:val="false"/>
                <w:color w:val="1A1A2E"/>
                <w:sz w:val="19"/>
                <w:szCs w:val="19"/>
              </w:rPr>
              <w:t xml:space="preserve">What this leader has achieved in their current role and conditions</w:t>
            </w:r>
          </w:p>
        </w:tc>
        <w:tc>
          <w:tcPr>
            <w:tcW w:type="dxa" w:w="2880"/>
            <w:tcBorders>
              <w:top w:val="single" w:color="CCCCCC" w:sz="1"/>
              <w:left w:val="single" w:color="CCCCCC" w:sz="1"/>
              <w:bottom w:val="single" w:color="CCCCCC" w:sz="1"/>
              <w:right w:val="single" w:color="CCCCCC" w:sz="1"/>
            </w:tcBorders>
            <w:shd w:fill="FDECEA" w:val="clear"/>
            <w:tcMar>
              <w:top w:type="dxa" w:w="65"/>
              <w:left w:type="dxa" w:w="100"/>
              <w:bottom w:type="dxa" w:w="65"/>
              <w:right w:type="dxa" w:w="100"/>
            </w:tcMar>
          </w:tcPr>
          <w:p>
            <w:r>
              <w:rPr>
                <w:rFonts w:ascii="Arial" w:cs="Arial" w:eastAsia="Arial" w:hAnsi="Arial"/>
                <w:b w:val="false"/>
                <w:bCs w:val="false"/>
                <w:color w:val="1A1A2E"/>
                <w:sz w:val="19"/>
                <w:szCs w:val="19"/>
              </w:rPr>
              <w:t xml:space="preserve">Whether those achievements are sustainable, generalisable or available when conditions change</w:t>
            </w:r>
          </w:p>
        </w:tc>
        <w:tc>
          <w:tcPr>
            <w:tcW w:type="dxa" w:w="1440"/>
            <w:tcBorders>
              <w:top w:val="single" w:color="CCCCCC" w:sz="1"/>
              <w:left w:val="single" w:color="CCCCCC" w:sz="1"/>
              <w:bottom w:val="single" w:color="CCCCCC" w:sz="1"/>
              <w:right w:val="single" w:color="CCCCCC" w:sz="1"/>
            </w:tcBorders>
            <w:shd w:fill="E8F5EE" w:val="clear"/>
            <w:tcMar>
              <w:top w:type="dxa" w:w="65"/>
              <w:left w:type="dxa" w:w="100"/>
              <w:bottom w:type="dxa" w:w="65"/>
              <w:right w:type="dxa" w:w="100"/>
            </w:tcMar>
          </w:tcPr>
          <w:p>
            <w:r>
              <w:rPr>
                <w:rFonts w:ascii="Arial" w:cs="Arial" w:eastAsia="Arial" w:hAnsi="Arial"/>
                <w:b w:val="false"/>
                <w:bCs w:val="false"/>
                <w:color w:val="1A1A2E"/>
                <w:sz w:val="19"/>
                <w:szCs w:val="19"/>
              </w:rPr>
              <w:t xml:space="preserve">When the role changes, the pressure increases or the environment becomes ambiguous</w:t>
            </w:r>
          </w:p>
        </w:tc>
      </w:tr>
      <w:tr>
        <w:tc>
          <w:tcPr>
            <w:tcW w:type="dxa" w:w="2160"/>
            <w:tcBorders>
              <w:top w:val="single" w:color="CCCCCC" w:sz="1"/>
              <w:left w:val="single" w:color="CCCCCC" w:sz="1"/>
              <w:bottom w:val="single" w:color="CCCCCC" w:sz="1"/>
              <w:right w:val="single" w:color="CCCCCC" w:sz="1"/>
            </w:tcBorders>
            <w:shd w:fill="EEF2F8" w:val="clear"/>
            <w:tcMar>
              <w:top w:type="dxa" w:w="65"/>
              <w:left w:type="dxa" w:w="100"/>
              <w:bottom w:type="dxa" w:w="65"/>
              <w:right w:type="dxa" w:w="100"/>
            </w:tcMar>
          </w:tcPr>
          <w:p>
            <w:r>
              <w:rPr>
                <w:rFonts w:ascii="Arial" w:cs="Arial" w:eastAsia="Arial" w:hAnsi="Arial"/>
                <w:b/>
                <w:bCs/>
                <w:color w:val="1B3A6B"/>
                <w:sz w:val="19"/>
                <w:szCs w:val="19"/>
              </w:rPr>
              <w:t xml:space="preserve">Competency Framework</w:t>
            </w:r>
          </w:p>
        </w:tc>
        <w:tc>
          <w:tcPr>
            <w:tcW w:type="dxa" w:w="2880"/>
            <w:tcBorders>
              <w:top w:val="single" w:color="CCCCCC" w:sz="1"/>
              <w:left w:val="single" w:color="CCCCCC" w:sz="1"/>
              <w:bottom w:val="single" w:color="CCCCCC" w:sz="1"/>
              <w:right w:val="single" w:color="CCCCCC" w:sz="1"/>
            </w:tcBorders>
            <w:shd w:fill="FFF3DC" w:val="clear"/>
            <w:tcMar>
              <w:top w:type="dxa" w:w="65"/>
              <w:left w:type="dxa" w:w="100"/>
              <w:bottom w:type="dxa" w:w="65"/>
              <w:right w:type="dxa" w:w="100"/>
            </w:tcMar>
          </w:tcPr>
          <w:p>
            <w:r>
              <w:rPr>
                <w:rFonts w:ascii="Arial" w:cs="Arial" w:eastAsia="Arial" w:hAnsi="Arial"/>
                <w:b w:val="false"/>
                <w:bCs w:val="false"/>
                <w:color w:val="1A1A2E"/>
                <w:sz w:val="19"/>
                <w:szCs w:val="19"/>
              </w:rPr>
              <w:t xml:space="preserve">What this leader is capable of demonstrating in assessed conditions</w:t>
            </w:r>
          </w:p>
        </w:tc>
        <w:tc>
          <w:tcPr>
            <w:tcW w:type="dxa" w:w="2880"/>
            <w:tcBorders>
              <w:top w:val="single" w:color="CCCCCC" w:sz="1"/>
              <w:left w:val="single" w:color="CCCCCC" w:sz="1"/>
              <w:bottom w:val="single" w:color="CCCCCC" w:sz="1"/>
              <w:right w:val="single" w:color="CCCCCC" w:sz="1"/>
            </w:tcBorders>
            <w:shd w:fill="FDECEA" w:val="clear"/>
            <w:tcMar>
              <w:top w:type="dxa" w:w="65"/>
              <w:left w:type="dxa" w:w="100"/>
              <w:bottom w:type="dxa" w:w="65"/>
              <w:right w:type="dxa" w:w="100"/>
            </w:tcMar>
          </w:tcPr>
          <w:p>
            <w:r>
              <w:rPr>
                <w:rFonts w:ascii="Arial" w:cs="Arial" w:eastAsia="Arial" w:hAnsi="Arial"/>
                <w:b w:val="false"/>
                <w:bCs w:val="false"/>
                <w:color w:val="1A1A2E"/>
                <w:sz w:val="19"/>
                <w:szCs w:val="19"/>
              </w:rPr>
              <w:t xml:space="preserve">How that capability holds under conditions not present during assessment - pressure, ambiguity, personal stress, political complexity</w:t>
            </w:r>
          </w:p>
        </w:tc>
        <w:tc>
          <w:tcPr>
            <w:tcW w:type="dxa" w:w="1440"/>
            <w:tcBorders>
              <w:top w:val="single" w:color="CCCCCC" w:sz="1"/>
              <w:left w:val="single" w:color="CCCCCC" w:sz="1"/>
              <w:bottom w:val="single" w:color="CCCCCC" w:sz="1"/>
              <w:right w:val="single" w:color="CCCCCC" w:sz="1"/>
            </w:tcBorders>
            <w:shd w:fill="E8F5EE" w:val="clear"/>
            <w:tcMar>
              <w:top w:type="dxa" w:w="65"/>
              <w:left w:type="dxa" w:w="100"/>
              <w:bottom w:type="dxa" w:w="65"/>
              <w:right w:type="dxa" w:w="100"/>
            </w:tcMar>
          </w:tcPr>
          <w:p>
            <w:r>
              <w:rPr>
                <w:rFonts w:ascii="Arial" w:cs="Arial" w:eastAsia="Arial" w:hAnsi="Arial"/>
                <w:b w:val="false"/>
                <w:bCs w:val="false"/>
                <w:color w:val="1A1A2E"/>
                <w:sz w:val="19"/>
                <w:szCs w:val="19"/>
              </w:rPr>
              <w:t xml:space="preserve">When the conditions that produced the competency rating no longer apply</w:t>
            </w:r>
          </w:p>
        </w:tc>
      </w:tr>
      <w:tr>
        <w:tc>
          <w:tcPr>
            <w:tcW w:type="dxa" w:w="2160"/>
            <w:tcBorders>
              <w:top w:val="single" w:color="CCCCCC" w:sz="1"/>
              <w:left w:val="single" w:color="CCCCCC" w:sz="1"/>
              <w:bottom w:val="single" w:color="CCCCCC" w:sz="1"/>
              <w:right w:val="single" w:color="CCCCCC" w:sz="1"/>
            </w:tcBorders>
            <w:shd w:fill="EEF2F8" w:val="clear"/>
            <w:tcMar>
              <w:top w:type="dxa" w:w="65"/>
              <w:left w:type="dxa" w:w="100"/>
              <w:bottom w:type="dxa" w:w="65"/>
              <w:right w:type="dxa" w:w="100"/>
            </w:tcMar>
          </w:tcPr>
          <w:p>
            <w:r>
              <w:rPr>
                <w:rFonts w:ascii="Arial" w:cs="Arial" w:eastAsia="Arial" w:hAnsi="Arial"/>
                <w:b/>
                <w:bCs/>
                <w:color w:val="1B3A6B"/>
                <w:sz w:val="19"/>
                <w:szCs w:val="19"/>
              </w:rPr>
              <w:t xml:space="preserve">First Principles (JI)</w:t>
            </w:r>
          </w:p>
        </w:tc>
        <w:tc>
          <w:tcPr>
            <w:tcW w:type="dxa" w:w="2880"/>
            <w:tcBorders>
              <w:top w:val="single" w:color="CCCCCC" w:sz="1"/>
              <w:left w:val="single" w:color="CCCCCC" w:sz="1"/>
              <w:bottom w:val="single" w:color="CCCCCC" w:sz="1"/>
              <w:right w:val="single" w:color="CCCCCC" w:sz="1"/>
            </w:tcBorders>
            <w:shd w:fill="FFF3DC" w:val="clear"/>
            <w:tcMar>
              <w:top w:type="dxa" w:w="65"/>
              <w:left w:type="dxa" w:w="100"/>
              <w:bottom w:type="dxa" w:w="65"/>
              <w:right w:type="dxa" w:w="100"/>
            </w:tcMar>
          </w:tcPr>
          <w:p>
            <w:r>
              <w:rPr>
                <w:rFonts w:ascii="Arial" w:cs="Arial" w:eastAsia="Arial" w:hAnsi="Arial"/>
                <w:b w:val="false"/>
                <w:bCs w:val="false"/>
                <w:color w:val="1A1A2E"/>
                <w:sz w:val="19"/>
                <w:szCs w:val="19"/>
              </w:rPr>
              <w:t xml:space="preserve">The underlying value structure that produces both performance and competency - and how it holds under any conditions</w:t>
            </w:r>
          </w:p>
        </w:tc>
        <w:tc>
          <w:tcPr>
            <w:tcW w:type="dxa" w:w="2880"/>
            <w:tcBorders>
              <w:top w:val="single" w:color="CCCCCC" w:sz="1"/>
              <w:left w:val="single" w:color="CCCCCC" w:sz="1"/>
              <w:bottom w:val="single" w:color="CCCCCC" w:sz="1"/>
              <w:right w:val="single" w:color="CCCCCC" w:sz="1"/>
            </w:tcBorders>
            <w:shd w:fill="FDECEA" w:val="clear"/>
            <w:tcMar>
              <w:top w:type="dxa" w:w="65"/>
              <w:left w:type="dxa" w:w="100"/>
              <w:bottom w:type="dxa" w:w="65"/>
              <w:right w:type="dxa" w:w="100"/>
            </w:tcMar>
          </w:tcPr>
          <w:p>
            <w:r>
              <w:rPr>
                <w:rFonts w:ascii="Arial" w:cs="Arial" w:eastAsia="Arial" w:hAnsi="Arial"/>
                <w:b w:val="false"/>
                <w:bCs w:val="false"/>
                <w:color w:val="1A1A2E"/>
                <w:sz w:val="19"/>
                <w:szCs w:val="19"/>
              </w:rPr>
              <w:t xml:space="preserve">Nothing. First principles operate beneath all conditions.</w:t>
            </w:r>
          </w:p>
        </w:tc>
        <w:tc>
          <w:tcPr>
            <w:tcW w:type="dxa" w:w="1440"/>
            <w:tcBorders>
              <w:top w:val="single" w:color="CCCCCC" w:sz="1"/>
              <w:left w:val="single" w:color="CCCCCC" w:sz="1"/>
              <w:bottom w:val="single" w:color="CCCCCC" w:sz="1"/>
              <w:right w:val="single" w:color="CCCCCC" w:sz="1"/>
            </w:tcBorders>
            <w:shd w:fill="E8F5EE" w:val="clear"/>
            <w:tcMar>
              <w:top w:type="dxa" w:w="65"/>
              <w:left w:type="dxa" w:w="100"/>
              <w:bottom w:type="dxa" w:w="65"/>
              <w:right w:type="dxa" w:w="100"/>
            </w:tcMar>
          </w:tcPr>
          <w:p>
            <w:r>
              <w:rPr>
                <w:rFonts w:ascii="Arial" w:cs="Arial" w:eastAsia="Arial" w:hAnsi="Arial"/>
                <w:b w:val="false"/>
                <w:bCs w:val="false"/>
                <w:color w:val="1A1A2E"/>
                <w:sz w:val="19"/>
                <w:szCs w:val="19"/>
              </w:rPr>
              <w:t xml:space="preserve">It does not fail. It measures the foundation, not the expression.</w:t>
            </w:r>
          </w:p>
        </w:tc>
      </w:tr>
    </w:tbl>
    <w:p>
      <w:pPr>
        <w:spacing w:after="0" w:before="70"/>
      </w:pPr>
    </w:p>
    <w:p>
      <w:pPr>
        <w:pStyle w:val="Heading2"/>
        <w:keepNext/>
        <w:spacing w:after="90" w:before="240"/>
      </w:pPr>
      <w:r>
        <w:rPr>
          <w:rFonts w:ascii="Arial" w:cs="Arial" w:eastAsia="Arial" w:hAnsi="Arial"/>
          <w:b/>
          <w:bCs/>
          <w:color w:val="0D7A6B"/>
          <w:sz w:val="26"/>
          <w:szCs w:val="26"/>
        </w:rPr>
        <w:t xml:space="preserve">The Ten First Principles of Leadership Capability</w:t>
      </w:r>
    </w:p>
    <w:p>
      <w:pPr>
        <w:spacing w:after="65" w:before="65"/>
      </w:pPr>
      <w:r>
        <w:rPr>
          <w:rFonts w:ascii="Arial" w:cs="Arial" w:eastAsia="Arial" w:hAnsi="Arial"/>
          <w:b w:val="false"/>
          <w:bCs w:val="false"/>
          <w:i w:val="false"/>
          <w:iCs w:val="false"/>
          <w:color w:val="1A1A2E"/>
          <w:sz w:val="22"/>
          <w:szCs w:val="22"/>
        </w:rPr>
        <w:t xml:space="preserve">The JI Leadership Qualities Framework identifies ten first-principles domains that determine leadership effectiveness across all levels, sectors and conditions. Each domain is measured by specific JI dimensions that cannot be performed for an assessment, gamed through self-report or estimated from performance observation.</w:t>
      </w:r>
    </w:p>
    <w:p>
      <w:pPr>
        <w:spacing w:after="0" w:before="55"/>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0EBF9" w:val="clear"/>
            <w:tcMar>
              <w:top w:type="dxa" w:w="140"/>
              <w:left w:type="dxa" w:w="180"/>
              <w:bottom w:type="dxa" w:w="140"/>
              <w:right w:type="dxa" w:w="180"/>
            </w:tcMar>
          </w:tcPr>
          <w:p>
            <w:pPr>
              <w:spacing w:after="80" w:before="0"/>
            </w:pPr>
            <w:r>
              <w:rPr>
                <w:rFonts w:ascii="Arial" w:cs="Arial" w:eastAsia="Arial" w:hAnsi="Arial"/>
                <w:b/>
                <w:bCs/>
                <w:color w:val="50288A"/>
                <w:sz w:val="22"/>
                <w:szCs w:val="22"/>
              </w:rPr>
              <w:t xml:space="preserve">The ten first-principles leadership domains (see Board Discussion Paper Section 39 for full analysis)</w:t>
            </w:r>
          </w:p>
          <w:p>
            <w:pPr>
              <w:pStyle w:val="ListParagraph"/>
              <w:keepLines/>
              <w:numPr>
                <w:ilvl w:val="0"/>
                <w:numId w:val="2"/>
              </w:numPr>
              <w:spacing w:after="44" w:before="44"/>
            </w:pPr>
            <w:r>
              <w:rPr>
                <w:rFonts w:ascii="Arial" w:cs="Arial" w:eastAsia="Arial" w:hAnsi="Arial"/>
                <w:color w:val="1A1A2E"/>
                <w:sz w:val="21"/>
                <w:szCs w:val="21"/>
              </w:rPr>
              <w:t xml:space="preserve">Resilience - not toughness, but cognitive and emotional stability under strain</w:t>
            </w:r>
          </w:p>
          <w:p>
            <w:pPr>
              <w:pStyle w:val="ListParagraph"/>
              <w:keepLines/>
              <w:numPr>
                <w:ilvl w:val="0"/>
                <w:numId w:val="2"/>
              </w:numPr>
              <w:spacing w:after="44" w:before="44"/>
            </w:pPr>
            <w:r>
              <w:rPr>
                <w:rFonts w:ascii="Arial" w:cs="Arial" w:eastAsia="Arial" w:hAnsi="Arial"/>
                <w:color w:val="1A1A2E"/>
                <w:sz w:val="21"/>
                <w:szCs w:val="21"/>
              </w:rPr>
              <w:t xml:space="preserve">Managing Relationships - trust durability under pressure, not just collaboration style</w:t>
            </w:r>
          </w:p>
          <w:p>
            <w:pPr>
              <w:pStyle w:val="ListParagraph"/>
              <w:keepLines/>
              <w:numPr>
                <w:ilvl w:val="0"/>
                <w:numId w:val="2"/>
              </w:numPr>
              <w:spacing w:after="44" w:before="44"/>
            </w:pPr>
            <w:r>
              <w:rPr>
                <w:rFonts w:ascii="Arial" w:cs="Arial" w:eastAsia="Arial" w:hAnsi="Arial"/>
                <w:color w:val="1A1A2E"/>
                <w:sz w:val="21"/>
                <w:szCs w:val="21"/>
              </w:rPr>
              <w:t xml:space="preserve">General Competence - behavioural dependability over time, not just demonstrated capability</w:t>
            </w:r>
          </w:p>
          <w:p>
            <w:pPr>
              <w:pStyle w:val="ListParagraph"/>
              <w:keepLines/>
              <w:numPr>
                <w:ilvl w:val="0"/>
                <w:numId w:val="2"/>
              </w:numPr>
              <w:spacing w:after="44" w:before="44"/>
            </w:pPr>
            <w:r>
              <w:rPr>
                <w:rFonts w:ascii="Arial" w:cs="Arial" w:eastAsia="Arial" w:hAnsi="Arial"/>
                <w:color w:val="1A1A2E"/>
                <w:sz w:val="21"/>
                <w:szCs w:val="21"/>
              </w:rPr>
              <w:t xml:space="preserve">Decisiveness - judgement quality under uncertainty, not just decision speed</w:t>
            </w:r>
          </w:p>
          <w:p>
            <w:pPr>
              <w:pStyle w:val="ListParagraph"/>
              <w:keepLines/>
              <w:numPr>
                <w:ilvl w:val="0"/>
                <w:numId w:val="2"/>
              </w:numPr>
              <w:spacing w:after="44" w:before="44"/>
            </w:pPr>
            <w:r>
              <w:rPr>
                <w:rFonts w:ascii="Arial" w:cs="Arial" w:eastAsia="Arial" w:hAnsi="Arial"/>
                <w:color w:val="1A1A2E"/>
                <w:sz w:val="21"/>
                <w:szCs w:val="21"/>
              </w:rPr>
              <w:t xml:space="preserve">Plan and Execute - strategy-to-outcomes translation capacity, not just strategic thinking</w:t>
            </w:r>
          </w:p>
          <w:p>
            <w:pPr>
              <w:pStyle w:val="ListParagraph"/>
              <w:keepLines/>
              <w:numPr>
                <w:ilvl w:val="0"/>
                <w:numId w:val="2"/>
              </w:numPr>
              <w:spacing w:after="44" w:before="44"/>
            </w:pPr>
            <w:r>
              <w:rPr>
                <w:rFonts w:ascii="Arial" w:cs="Arial" w:eastAsia="Arial" w:hAnsi="Arial"/>
                <w:color w:val="1A1A2E"/>
                <w:sz w:val="21"/>
                <w:szCs w:val="21"/>
              </w:rPr>
              <w:t xml:space="preserve">Passion to Lead - sustainable leadership energy, not just short-term motivation</w:t>
            </w:r>
          </w:p>
          <w:p>
            <w:pPr>
              <w:pStyle w:val="ListParagraph"/>
              <w:keepLines/>
              <w:numPr>
                <w:ilvl w:val="0"/>
                <w:numId w:val="2"/>
              </w:numPr>
              <w:spacing w:after="44" w:before="44"/>
            </w:pPr>
            <w:r>
              <w:rPr>
                <w:rFonts w:ascii="Arial" w:cs="Arial" w:eastAsia="Arial" w:hAnsi="Arial"/>
                <w:color w:val="1A1A2E"/>
                <w:sz w:val="21"/>
                <w:szCs w:val="21"/>
              </w:rPr>
              <w:t xml:space="preserve">Ability to Inspire - emotional credibility and clarity, not just charisma</w:t>
            </w:r>
          </w:p>
          <w:p>
            <w:pPr>
              <w:pStyle w:val="ListParagraph"/>
              <w:keepLines/>
              <w:numPr>
                <w:ilvl w:val="0"/>
                <w:numId w:val="2"/>
              </w:numPr>
              <w:spacing w:after="44" w:before="44"/>
            </w:pPr>
            <w:r>
              <w:rPr>
                <w:rFonts w:ascii="Arial" w:cs="Arial" w:eastAsia="Arial" w:hAnsi="Arial"/>
                <w:color w:val="1A1A2E"/>
                <w:sz w:val="21"/>
                <w:szCs w:val="21"/>
              </w:rPr>
              <w:t xml:space="preserve">Ability to Select Quality People - the capacity to build other leaders, not just manage teams</w:t>
            </w:r>
          </w:p>
          <w:p>
            <w:pPr>
              <w:pStyle w:val="ListParagraph"/>
              <w:keepLines/>
              <w:numPr>
                <w:ilvl w:val="0"/>
                <w:numId w:val="2"/>
              </w:numPr>
              <w:spacing w:after="44" w:before="44"/>
            </w:pPr>
            <w:r>
              <w:rPr>
                <w:rFonts w:ascii="Arial" w:cs="Arial" w:eastAsia="Arial" w:hAnsi="Arial"/>
                <w:color w:val="1A1A2E"/>
                <w:sz w:val="21"/>
                <w:szCs w:val="21"/>
              </w:rPr>
              <w:t xml:space="preserve">Courage - truth-action alignment under discomfort, not just stated willingness to be direct</w:t>
            </w:r>
          </w:p>
          <w:p>
            <w:pPr>
              <w:pStyle w:val="ListParagraph"/>
              <w:keepLines/>
              <w:numPr>
                <w:ilvl w:val="0"/>
                <w:numId w:val="2"/>
              </w:numPr>
              <w:spacing w:after="44" w:before="44"/>
            </w:pPr>
            <w:r>
              <w:rPr>
                <w:rFonts w:ascii="Arial" w:cs="Arial" w:eastAsia="Arial" w:hAnsi="Arial"/>
                <w:color w:val="1A1A2E"/>
                <w:sz w:val="21"/>
                <w:szCs w:val="21"/>
              </w:rPr>
              <w:t xml:space="preserve">Trustworthiness - behavioural consistency under pressure, not just declared integrity</w:t>
            </w:r>
          </w:p>
        </w:tc>
      </w:tr>
    </w:tbl>
    <w:p>
      <w:pPr>
        <w:spacing w:after="0" w:before="70"/>
      </w:pPr>
    </w:p>
    <w:p>
      <w:pPr>
        <w:pStyle w:val="Heading2"/>
        <w:keepNext/>
        <w:spacing w:after="90" w:before="240"/>
      </w:pPr>
      <w:r>
        <w:rPr>
          <w:rFonts w:ascii="Arial" w:cs="Arial" w:eastAsia="Arial" w:hAnsi="Arial"/>
          <w:b/>
          <w:bCs/>
          <w:color w:val="147842"/>
          <w:sz w:val="26"/>
          <w:szCs w:val="26"/>
        </w:rPr>
        <w:t xml:space="preserve">The Executive Coaching Application</w:t>
      </w:r>
    </w:p>
    <w:p>
      <w:pPr>
        <w:spacing w:after="65" w:before="65"/>
      </w:pPr>
      <w:r>
        <w:rPr>
          <w:rFonts w:ascii="Arial" w:cs="Arial" w:eastAsia="Arial" w:hAnsi="Arial"/>
          <w:b w:val="false"/>
          <w:bCs w:val="false"/>
          <w:i w:val="false"/>
          <w:iCs w:val="false"/>
          <w:color w:val="1A1A2E"/>
          <w:sz w:val="22"/>
          <w:szCs w:val="22"/>
        </w:rPr>
        <w:t xml:space="preserve">For executive coaches, the JI Score Sheet is the most complete starting point for a senior leadership development engagement available in Australia. It provides a 30-dimension map of the coachee’s value structure - the first-principles foundation of every behaviour, decision and pattern the coach will work with.</w:t>
      </w:r>
    </w:p>
    <w:p>
      <w:pPr>
        <w:spacing w:after="0" w:before="55"/>
      </w:pPr>
    </w:p>
    <w:p>
      <w:pPr>
        <w:spacing w:after="65" w:before="65"/>
      </w:pPr>
      <w:r>
        <w:rPr>
          <w:rFonts w:ascii="Arial" w:cs="Arial" w:eastAsia="Arial" w:hAnsi="Arial"/>
          <w:b w:val="false"/>
          <w:bCs w:val="false"/>
          <w:i w:val="false"/>
          <w:iCs w:val="false"/>
          <w:color w:val="1A1A2E"/>
          <w:sz w:val="22"/>
          <w:szCs w:val="22"/>
        </w:rPr>
        <w:t xml:space="preserve">The Self Side dimensions (Part 2) are particularly transformative for coaching: self-esteem, self-concept, self-image, self-care, self-criticism and role identity. These are the dimensions that determine whether a coaching engagement will produce lasting change or temporary adjustment. A coachee with a strong Work Side profile and a depleted Self Side is performing competently while quietly collapsing. The JI sees both simultaneously.</w:t>
      </w:r>
    </w:p>
    <w:p>
      <w:pPr>
        <w:spacing w:after="0" w:before="55"/>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
        <w:gridCol w:w="9200"/>
      </w:tblGrid>
      <w:tr>
        <w:tc>
          <w:tcPr>
            <w:tcW w:type="dxa" w:w="160"/>
            <w:tcBorders>
              <w:top w:val="none" w:color="FFFFFF" w:sz="0"/>
              <w:left w:val="none" w:color="FFFFFF" w:sz="0"/>
              <w:bottom w:val="none" w:color="FFFFFF" w:sz="0"/>
              <w:right w:val="none" w:color="FFFFFF" w:sz="0"/>
            </w:tcBorders>
            <w:shd w:fill="50288A" w:val="clear"/>
          </w:tcPr>
          <w:p/>
        </w:tc>
        <w:tc>
          <w:tcPr>
            <w:tcW w:type="dxa" w:w="9200"/>
            <w:tcBorders>
              <w:top w:val="none" w:color="FFFFFF" w:sz="0"/>
              <w:left w:val="none" w:color="FFFFFF" w:sz="0"/>
              <w:bottom w:val="none" w:color="FFFFFF" w:sz="0"/>
              <w:right w:val="none" w:color="FFFFFF" w:sz="0"/>
            </w:tcBorders>
            <w:shd w:fill="EEF2F8" w:val="clear"/>
            <w:tcMar>
              <w:top w:type="dxa" w:w="140"/>
              <w:left w:type="dxa" w:w="200"/>
              <w:bottom w:type="dxa" w:w="140"/>
              <w:right w:type="dxa" w:w="160"/>
            </w:tcMar>
          </w:tcPr>
          <w:p>
            <w:pPr>
              <w:spacing w:after="70" w:before="0"/>
            </w:pPr>
            <w:r>
              <w:rPr>
                <w:rFonts w:ascii="Arial" w:cs="Arial" w:eastAsia="Arial" w:hAnsi="Arial"/>
                <w:i/>
                <w:iCs/>
                <w:color w:val="1A1A2E"/>
                <w:sz w:val="23"/>
                <w:szCs w:val="23"/>
              </w:rPr>
              <w:t xml:space="preserve">“I have used six different assessment tools over 20 years of executive coaching. The Judgment Index is the only one that consistently reveals what is actually happening beneath the surface - not what the client presents, but what their value structure is doing under pressure. My clients describe it as the most accurate mirror they have ever looked into.”</w:t>
            </w:r>
          </w:p>
          <w:p>
            <w:r>
              <w:rPr>
                <w:rFonts w:ascii="Arial" w:cs="Arial" w:eastAsia="Arial" w:hAnsi="Arial"/>
                <w:b/>
                <w:bCs/>
                <w:color w:val="50288A"/>
                <w:sz w:val="20"/>
                <w:szCs w:val="20"/>
              </w:rPr>
              <w:t xml:space="preserve">— Executive Coach and HJI™ Accredited Practitioner, Brisbane</w:t>
            </w:r>
          </w:p>
        </w:tc>
      </w:tr>
    </w:tbl>
    <w:p>
      <w:pPr>
        <w:spacing w:after="0" w:before="7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D7A6B" w:sz="1"/>
              <w:left w:val="single" w:color="0D7A6B" w:sz="1"/>
              <w:bottom w:val="single" w:color="0D7A6B" w:sz="1"/>
              <w:right w:val="single" w:color="0D7A6B" w:sz="1"/>
            </w:tcBorders>
            <w:shd w:fill="E6F4F1" w:val="clear"/>
            <w:tcMar>
              <w:top w:type="dxa" w:w="160"/>
              <w:left w:type="dxa" w:w="200"/>
              <w:bottom w:type="dxa" w:w="160"/>
              <w:right w:type="dxa" w:w="200"/>
            </w:tcMar>
          </w:tcPr>
          <w:p>
            <w:pPr>
              <w:spacing w:after="60" w:before="0"/>
            </w:pPr>
            <w:r>
              <w:rPr>
                <w:rFonts w:ascii="Arial" w:cs="Arial" w:eastAsia="Arial" w:hAnsi="Arial"/>
                <w:b/>
                <w:bCs/>
                <w:color w:val="0D7A6B"/>
                <w:sz w:val="22"/>
                <w:szCs w:val="22"/>
              </w:rPr>
              <w:t xml:space="preserve">What to do next</w:t>
            </w:r>
          </w:p>
          <w:p>
            <w:pPr>
              <w:spacing w:after="50" w:before="0"/>
            </w:pPr>
            <w:r>
              <w:rPr>
                <w:rFonts w:ascii="Arial" w:cs="Arial" w:eastAsia="Arial" w:hAnsi="Arial"/>
                <w:color w:val="1A1A2E"/>
                <w:sz w:val="22"/>
                <w:szCs w:val="22"/>
              </w:rPr>
              <w:t xml:space="preserve">If you are an executive coach seeking a validated first-principles foundation for your coaching work, the JI Accredited Practitioner programme gives you access to the full suite of JI reports and a structured methodology for using them in executive coaching engagements.</w:t>
            </w:r>
          </w:p>
          <w:p>
            <w:pPr>
              <w:spacing w:after="50" w:before="0"/>
            </w:pPr>
            <w:r>
              <w:rPr>
                <w:rFonts w:ascii="Arial" w:cs="Arial" w:eastAsia="Arial" w:hAnsi="Arial"/>
                <w:b/>
                <w:bCs/>
                <w:color w:val="0D7A6B"/>
                <w:sz w:val="22"/>
                <w:szCs w:val="22"/>
              </w:rPr>
              <w:t xml:space="preserve">Enquire about JI Accredited Practitioner Programme: jiau.com.au/accredited-coach</w:t>
            </w:r>
          </w:p>
          <w:p>
            <w:pPr>
              <w:spacing w:after="0" w:before="0"/>
            </w:pPr>
            <w:r>
              <w:rPr>
                <w:rFonts w:ascii="Arial" w:cs="Arial" w:eastAsia="Arial" w:hAnsi="Arial"/>
                <w:i/>
                <w:iCs/>
                <w:color w:val="4A5568"/>
                <w:sz w:val="20"/>
                <w:szCs w:val="20"/>
              </w:rPr>
              <w:t xml:space="preserve">Book at: jiau.com.au  ·  Or call: 1300 677 572  ·  Or email: info@jiau.com.au</w:t>
            </w:r>
          </w:p>
        </w:tc>
      </w:tr>
    </w:tbl>
    <w:p>
      <w:r>
        <w:br w:type="page"/>
      </w:r>
    </w:p>
    <w:p>
      <w:pPr>
        <w:pStyle w:val="Heading1"/>
        <w:pageBreakBefore/>
        <w:spacing w:after="110" w:before="0"/>
      </w:pPr>
      <w:r>
        <w:rPr>
          <w:rFonts w:ascii="Arial" w:cs="Arial" w:eastAsia="Arial" w:hAnsi="Arial"/>
          <w:b/>
          <w:bCs/>
          <w:color w:val="1B3A6B"/>
          <w:sz w:val="34"/>
          <w:szCs w:val="34"/>
        </w:rPr>
        <w:t xml:space="preserve">White Paper 8: The 13 Judgement Types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thick" w:color="B46400" w:sz="12"/>
              <w:left w:val="thick" w:color="B46400" w:sz="12"/>
              <w:bottom w:val="thick" w:color="B46400" w:sz="12"/>
              <w:right w:val="thick" w:color="B46400" w:sz="12"/>
            </w:tcBorders>
            <w:shd w:fill="FFF3DC" w:val="clear"/>
            <w:tcMar>
              <w:top w:type="dxa" w:w="200"/>
              <w:left w:type="dxa" w:w="240"/>
              <w:bottom w:type="dxa" w:w="200"/>
              <w:right w:type="dxa" w:w="240"/>
            </w:tcMar>
          </w:tcPr>
          <w:p>
            <w:pPr>
              <w:spacing w:after="14" w:before="0"/>
            </w:pPr>
            <w:r>
              <w:rPr>
                <w:rFonts w:ascii="Arial" w:cs="Arial" w:eastAsia="Arial" w:hAnsi="Arial"/>
                <w:b/>
                <w:bCs/>
                <w:color w:val="B46400"/>
                <w:sz w:val="18"/>
                <w:szCs w:val="18"/>
              </w:rPr>
              <w:t xml:space="preserve">WHITE PAPER 8 OF 10</w:t>
            </w:r>
          </w:p>
          <w:p>
            <w:pPr>
              <w:spacing w:after="24" w:before="0"/>
            </w:pPr>
            <w:r>
              <w:rPr>
                <w:rFonts w:ascii="Arial" w:cs="Arial" w:eastAsia="Arial" w:hAnsi="Arial"/>
                <w:b/>
                <w:bCs/>
                <w:color w:val="1B3A6B"/>
                <w:sz w:val="32"/>
                <w:szCs w:val="32"/>
              </w:rPr>
              <w:t xml:space="preserve">The 13 Judgement Types</w:t>
            </w:r>
          </w:p>
          <w:p>
            <w:pPr>
              <w:spacing w:after="40" w:before="0"/>
            </w:pPr>
            <w:r>
              <w:rPr>
                <w:rFonts w:ascii="Arial" w:cs="Arial" w:eastAsia="Arial" w:hAnsi="Arial"/>
                <w:i/>
                <w:iCs/>
                <w:color w:val="4A5568"/>
                <w:sz w:val="22"/>
                <w:szCs w:val="22"/>
              </w:rPr>
              <w:t xml:space="preserve">A New Framework for Team Design, Compatibility Mapping and Conflict Resolution</w:t>
            </w:r>
          </w:p>
          <w:p>
            <w:pPr>
              <w:pBdr>
                <w:bottom w:val="single" w:color="B46400" w:sz="6" w:space="1"/>
              </w:pBdr>
              <w:spacing w:after="160" w:before="160"/>
            </w:pPr>
          </w:p>
          <w:p>
            <w:pPr>
              <w:spacing w:after="14" w:before="40"/>
            </w:pPr>
            <w:r>
              <w:rPr>
                <w:rFonts w:ascii="Arial" w:cs="Arial" w:eastAsia="Arial" w:hAnsi="Arial"/>
                <w:b/>
                <w:bCs/>
                <w:color w:val="B46400"/>
                <w:sz w:val="20"/>
                <w:szCs w:val="20"/>
              </w:rPr>
              <w:t xml:space="preserve">Primary audience: </w:t>
            </w:r>
            <w:r>
              <w:rPr>
                <w:rFonts w:ascii="Arial" w:cs="Arial" w:eastAsia="Arial" w:hAnsi="Arial"/>
                <w:color w:val="1A1A2E"/>
                <w:sz w:val="20"/>
                <w:szCs w:val="20"/>
              </w:rPr>
              <w:t xml:space="preserve">HR Directors, OD Professionals, Team Leaders, Executive Coaches, Board Chairs</w:t>
            </w:r>
          </w:p>
          <w:p>
            <w:pPr>
              <w:spacing w:after="14" w:before="0"/>
            </w:pPr>
            <w:r>
              <w:rPr>
                <w:rFonts w:ascii="Arial" w:cs="Arial" w:eastAsia="Arial" w:hAnsi="Arial"/>
                <w:b/>
                <w:bCs/>
                <w:color w:val="B46400"/>
                <w:sz w:val="20"/>
                <w:szCs w:val="20"/>
              </w:rPr>
              <w:t xml:space="preserve">Recommended gate: </w:t>
            </w:r>
            <w:r>
              <w:rPr>
                <w:rFonts w:ascii="Arial" w:cs="Arial" w:eastAsia="Arial" w:hAnsi="Arial"/>
                <w:color w:val="1A1A2E"/>
                <w:sz w:val="20"/>
                <w:szCs w:val="20"/>
              </w:rPr>
              <w:t xml:space="preserve">Work email address  ·  First name  ·  Organisation</w:t>
            </w:r>
          </w:p>
          <w:p>
            <w:pPr>
              <w:spacing w:after="14" w:before="0"/>
            </w:pPr>
            <w:r>
              <w:rPr>
                <w:rFonts w:ascii="Arial" w:cs="Arial" w:eastAsia="Arial" w:hAnsi="Arial"/>
                <w:b/>
                <w:bCs/>
                <w:color w:val="B46400"/>
                <w:sz w:val="20"/>
                <w:szCs w:val="20"/>
              </w:rPr>
              <w:t xml:space="preserve">Approximate length: </w:t>
            </w:r>
            <w:r>
              <w:rPr>
                <w:rFonts w:ascii="Arial" w:cs="Arial" w:eastAsia="Arial" w:hAnsi="Arial"/>
                <w:color w:val="1A1A2E"/>
                <w:sz w:val="20"/>
                <w:szCs w:val="20"/>
              </w:rPr>
              <w:t xml:space="preserve">1,300 words · 7 minute read</w:t>
            </w:r>
          </w:p>
          <w:p>
            <w:pPr>
              <w:spacing w:after="0" w:before="0"/>
            </w:pPr>
            <w:r>
              <w:rPr>
                <w:rFonts w:ascii="Arial" w:cs="Arial" w:eastAsia="Arial" w:hAnsi="Arial"/>
                <w:b/>
                <w:bCs/>
                <w:color w:val="B46400"/>
                <w:sz w:val="20"/>
                <w:szCs w:val="20"/>
              </w:rPr>
              <w:t xml:space="preserve">Publisher: </w:t>
            </w:r>
            <w:r>
              <w:rPr>
                <w:rFonts w:ascii="Arial" w:cs="Arial" w:eastAsia="Arial" w:hAnsi="Arial"/>
                <w:color w:val="1A1A2E"/>
                <w:sz w:val="20"/>
                <w:szCs w:val="20"/>
              </w:rPr>
              <w:t xml:space="preserve">Judgment Index Australia (JIAU)  ·  jiau.com.au  ·  © 2026</w:t>
            </w:r>
          </w:p>
        </w:tc>
      </w:tr>
    </w:tbl>
    <w:p>
      <w:pPr>
        <w:spacing w:after="0" w:before="70"/>
      </w:pPr>
    </w:p>
    <w:p>
      <w:pPr>
        <w:pStyle w:val="Heading2"/>
        <w:keepNext/>
        <w:spacing w:after="90" w:before="240"/>
      </w:pPr>
      <w:r>
        <w:rPr>
          <w:rFonts w:ascii="Arial" w:cs="Arial" w:eastAsia="Arial" w:hAnsi="Arial"/>
          <w:b/>
          <w:bCs/>
          <w:color w:val="B46400"/>
          <w:sz w:val="26"/>
          <w:szCs w:val="26"/>
        </w:rPr>
        <w:t xml:space="preserve">Why Teams Fail When Everyone Is Competent</w:t>
      </w:r>
    </w:p>
    <w:p>
      <w:pPr>
        <w:spacing w:after="65" w:before="65"/>
      </w:pPr>
      <w:r>
        <w:rPr>
          <w:rFonts w:ascii="Arial" w:cs="Arial" w:eastAsia="Arial" w:hAnsi="Arial"/>
          <w:b w:val="false"/>
          <w:bCs w:val="false"/>
          <w:i w:val="false"/>
          <w:iCs w:val="false"/>
          <w:color w:val="1A1A2E"/>
          <w:sz w:val="22"/>
          <w:szCs w:val="22"/>
        </w:rPr>
        <w:t xml:space="preserve">One of the most frustrating and expensive problems in organisational life is the team that underperforms despite containing individually strong members. Every HR leader, executive coach and board member has encountered it. The explanation is usually framed as a personality clash, a communication problem or a cultural issue. The intervention is usually a team-building workshop, a communication framework or a coach.</w:t>
      </w:r>
    </w:p>
    <w:p>
      <w:pPr>
        <w:spacing w:after="0" w:before="55"/>
      </w:pPr>
    </w:p>
    <w:p>
      <w:pPr>
        <w:spacing w:after="65" w:before="65"/>
      </w:pPr>
      <w:r>
        <w:rPr>
          <w:rFonts w:ascii="Arial" w:cs="Arial" w:eastAsia="Arial" w:hAnsi="Arial"/>
          <w:b w:val="false"/>
          <w:bCs w:val="false"/>
          <w:i w:val="false"/>
          <w:iCs w:val="false"/>
          <w:color w:val="1A1A2E"/>
          <w:sz w:val="22"/>
          <w:szCs w:val="22"/>
        </w:rPr>
        <w:t xml:space="preserve">And the problem persists.</w:t>
      </w:r>
    </w:p>
    <w:p>
      <w:pPr>
        <w:spacing w:after="0" w:before="55"/>
      </w:pPr>
    </w:p>
    <w:p>
      <w:pPr>
        <w:spacing w:after="65" w:before="65"/>
      </w:pPr>
      <w:r>
        <w:rPr>
          <w:rFonts w:ascii="Arial" w:cs="Arial" w:eastAsia="Arial" w:hAnsi="Arial"/>
          <w:b w:val="false"/>
          <w:bCs w:val="false"/>
          <w:i w:val="false"/>
          <w:iCs w:val="false"/>
          <w:color w:val="1A1A2E"/>
          <w:sz w:val="22"/>
          <w:szCs w:val="22"/>
        </w:rPr>
        <w:t xml:space="preserve">The reason is that the root cause has never been accurately named. It is not a personality clash. It is not a communication style difference. It is a Judgement Type collision - two or more people whose value structures create predictable, structural friction that no amount of communication training will resolve because the friction is not a communication problem. It is a first-principles incompatibility that needs to be named, mapped and worked with at the structural level.</w:t>
      </w:r>
    </w:p>
    <w:p>
      <w:pPr>
        <w:spacing w:after="0" w:before="70"/>
      </w:pPr>
    </w:p>
    <w:p>
      <w:pPr>
        <w:pStyle w:val="Heading2"/>
        <w:keepNext/>
        <w:spacing w:after="90" w:before="240"/>
      </w:pPr>
      <w:r>
        <w:rPr>
          <w:rFonts w:ascii="Arial" w:cs="Arial" w:eastAsia="Arial" w:hAnsi="Arial"/>
          <w:b/>
          <w:bCs/>
          <w:color w:val="1B3A6B"/>
          <w:sz w:val="26"/>
          <w:szCs w:val="26"/>
        </w:rPr>
        <w:t xml:space="preserve">The 13 Judgement Types: What They Are and What They Predict</w:t>
      </w:r>
    </w:p>
    <w:p>
      <w:pPr>
        <w:spacing w:after="65" w:before="65"/>
      </w:pPr>
      <w:r>
        <w:rPr>
          <w:rFonts w:ascii="Arial" w:cs="Arial" w:eastAsia="Arial" w:hAnsi="Arial"/>
          <w:b w:val="false"/>
          <w:bCs w:val="false"/>
          <w:i w:val="false"/>
          <w:iCs w:val="false"/>
          <w:color w:val="1A1A2E"/>
          <w:sz w:val="22"/>
          <w:szCs w:val="22"/>
        </w:rPr>
        <w:t xml:space="preserve">Each of the 13 Judgement Types describes a person’s dominant value orientation - the primary way their value structure directs them toward specific workplace behaviours. None is superior to any other. All are needed in a complete organisation. And each has a specific frustration point: the condition that, when present, creates reliable distress, conflict or disengagement for that type.</w:t>
      </w:r>
    </w:p>
    <w:p>
      <w:pPr>
        <w:spacing w:after="0" w:before="55"/>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
        <w:gridCol w:w="2160"/>
        <w:gridCol w:w="2880"/>
        <w:gridCol w:w="3780"/>
      </w:tblGrid>
      <w:tr>
        <w:tc>
          <w:tcPr>
            <w:tcW w:type="dxa" w:w="540"/>
            <w:tcBorders>
              <w:top w:val="single" w:color="CCCCCC" w:sz="1"/>
              <w:left w:val="single" w:color="CCCCCC" w:sz="1"/>
              <w:bottom w:val="single" w:color="CCCCCC" w:sz="1"/>
              <w:right w:val="single" w:color="CCCCCC" w:sz="1"/>
            </w:tcBorders>
            <w:shd w:fill="1B3A6B" w:val="clear"/>
            <w:tcMar>
              <w:top w:type="dxa" w:w="85"/>
              <w:left w:type="dxa" w:w="100"/>
              <w:bottom w:type="dxa" w:w="85"/>
              <w:right w:type="dxa" w:w="100"/>
            </w:tcMar>
          </w:tcPr>
          <w:p>
            <w:r>
              <w:rPr>
                <w:rFonts w:ascii="Arial" w:cs="Arial" w:eastAsia="Arial" w:hAnsi="Arial"/>
                <w:b/>
                <w:bCs/>
                <w:color w:val="FFFFFF"/>
                <w:sz w:val="19"/>
                <w:szCs w:val="19"/>
              </w:rPr>
              <w:t xml:space="preserve">Type</w:t>
            </w:r>
          </w:p>
        </w:tc>
        <w:tc>
          <w:tcPr>
            <w:tcW w:type="dxa" w:w="2160"/>
            <w:tcBorders>
              <w:top w:val="single" w:color="CCCCCC" w:sz="1"/>
              <w:left w:val="single" w:color="CCCCCC" w:sz="1"/>
              <w:bottom w:val="single" w:color="CCCCCC" w:sz="1"/>
              <w:right w:val="single" w:color="CCCCCC" w:sz="1"/>
            </w:tcBorders>
            <w:shd w:fill="1B3A6B" w:val="clear"/>
            <w:tcMar>
              <w:top w:type="dxa" w:w="85"/>
              <w:left w:type="dxa" w:w="100"/>
              <w:bottom w:type="dxa" w:w="85"/>
              <w:right w:type="dxa" w:w="100"/>
            </w:tcMar>
          </w:tcPr>
          <w:p>
            <w:r>
              <w:rPr>
                <w:rFonts w:ascii="Arial" w:cs="Arial" w:eastAsia="Arial" w:hAnsi="Arial"/>
                <w:b/>
                <w:bCs/>
                <w:color w:val="FFFFFF"/>
                <w:sz w:val="19"/>
                <w:szCs w:val="19"/>
              </w:rPr>
              <w:t xml:space="preserve">Name</w:t>
            </w:r>
          </w:p>
        </w:tc>
        <w:tc>
          <w:tcPr>
            <w:tcW w:type="dxa" w:w="2880"/>
            <w:tcBorders>
              <w:top w:val="single" w:color="CCCCCC" w:sz="1"/>
              <w:left w:val="single" w:color="CCCCCC" w:sz="1"/>
              <w:bottom w:val="single" w:color="CCCCCC" w:sz="1"/>
              <w:right w:val="single" w:color="CCCCCC" w:sz="1"/>
            </w:tcBorders>
            <w:shd w:fill="1B3A6B" w:val="clear"/>
            <w:tcMar>
              <w:top w:type="dxa" w:w="85"/>
              <w:left w:type="dxa" w:w="100"/>
              <w:bottom w:type="dxa" w:w="85"/>
              <w:right w:type="dxa" w:w="100"/>
            </w:tcMar>
          </w:tcPr>
          <w:p>
            <w:r>
              <w:rPr>
                <w:rFonts w:ascii="Arial" w:cs="Arial" w:eastAsia="Arial" w:hAnsi="Arial"/>
                <w:b/>
                <w:bCs/>
                <w:color w:val="FFFFFF"/>
                <w:sz w:val="19"/>
                <w:szCs w:val="19"/>
              </w:rPr>
              <w:t xml:space="preserve">Their Contribution</w:t>
            </w:r>
          </w:p>
        </w:tc>
        <w:tc>
          <w:tcPr>
            <w:tcW w:type="dxa" w:w="3780"/>
            <w:tcBorders>
              <w:top w:val="single" w:color="CCCCCC" w:sz="1"/>
              <w:left w:val="single" w:color="CCCCCC" w:sz="1"/>
              <w:bottom w:val="single" w:color="CCCCCC" w:sz="1"/>
              <w:right w:val="single" w:color="CCCCCC" w:sz="1"/>
            </w:tcBorders>
            <w:shd w:fill="1B3A6B" w:val="clear"/>
            <w:tcMar>
              <w:top w:type="dxa" w:w="85"/>
              <w:left w:type="dxa" w:w="100"/>
              <w:bottom w:type="dxa" w:w="85"/>
              <w:right w:type="dxa" w:w="100"/>
            </w:tcMar>
          </w:tcPr>
          <w:p>
            <w:r>
              <w:rPr>
                <w:rFonts w:ascii="Arial" w:cs="Arial" w:eastAsia="Arial" w:hAnsi="Arial"/>
                <w:b/>
                <w:bCs/>
                <w:color w:val="FFFFFF"/>
                <w:sz w:val="19"/>
                <w:szCs w:val="19"/>
              </w:rPr>
              <w:t xml:space="preserve">Their Frustration Point</w:t>
            </w:r>
          </w:p>
        </w:tc>
      </w:tr>
      <w:tr>
        <w:tc>
          <w:tcPr>
            <w:tcW w:type="dxa" w:w="540"/>
            <w:tcBorders>
              <w:top w:val="single" w:color="CCCCCC" w:sz="1"/>
              <w:left w:val="single" w:color="CCCCCC" w:sz="1"/>
              <w:bottom w:val="single" w:color="CCCCCC" w:sz="1"/>
              <w:right w:val="single" w:color="CCCCCC" w:sz="1"/>
            </w:tcBorders>
            <w:shd w:fill="E8EDF5" w:val="clear"/>
            <w:tcMar>
              <w:top w:type="dxa" w:w="65"/>
              <w:left w:type="dxa" w:w="100"/>
              <w:bottom w:type="dxa" w:w="65"/>
              <w:right w:type="dxa" w:w="100"/>
            </w:tcMar>
          </w:tcPr>
          <w:p>
            <w:r>
              <w:rPr>
                <w:rFonts w:ascii="Arial" w:cs="Arial" w:eastAsia="Arial" w:hAnsi="Arial"/>
                <w:b/>
                <w:bCs/>
                <w:color w:val="1B3A6B"/>
                <w:sz w:val="19"/>
                <w:szCs w:val="19"/>
              </w:rPr>
              <w:t xml:space="preserve">1</w:t>
            </w:r>
          </w:p>
        </w:tc>
        <w:tc>
          <w:tcPr>
            <w:tcW w:type="dxa" w:w="2160"/>
            <w:tcBorders>
              <w:top w:val="single" w:color="CCCCCC" w:sz="1"/>
              <w:left w:val="single" w:color="CCCCCC" w:sz="1"/>
              <w:bottom w:val="single" w:color="CCCCCC" w:sz="1"/>
              <w:right w:val="single" w:color="CCCCCC" w:sz="1"/>
            </w:tcBorders>
            <w:shd w:fill="E6F4F1" w:val="clear"/>
            <w:tcMar>
              <w:top w:type="dxa" w:w="65"/>
              <w:left w:type="dxa" w:w="100"/>
              <w:bottom w:type="dxa" w:w="65"/>
              <w:right w:type="dxa" w:w="100"/>
            </w:tcMar>
          </w:tcPr>
          <w:p>
            <w:r>
              <w:rPr>
                <w:rFonts w:ascii="Arial" w:cs="Arial" w:eastAsia="Arial" w:hAnsi="Arial"/>
                <w:b w:val="false"/>
                <w:bCs w:val="false"/>
                <w:color w:val="1A1A2E"/>
                <w:sz w:val="19"/>
                <w:szCs w:val="19"/>
              </w:rPr>
              <w:t xml:space="preserve">Planning / Structuring</w:t>
            </w:r>
          </w:p>
        </w:tc>
        <w:tc>
          <w:tcPr>
            <w:tcW w:type="dxa" w:w="2880"/>
            <w:tcBorders>
              <w:top w:val="single" w:color="CCCCCC" w:sz="1"/>
              <w:left w:val="single" w:color="CCCCCC" w:sz="1"/>
              <w:bottom w:val="single" w:color="CCCCCC" w:sz="1"/>
              <w:right w:val="single" w:color="CCCCCC" w:sz="1"/>
            </w:tcBorders>
            <w:shd w:fill="EEF2F8" w:val="clear"/>
            <w:tcMar>
              <w:top w:type="dxa" w:w="65"/>
              <w:left w:type="dxa" w:w="100"/>
              <w:bottom w:type="dxa" w:w="65"/>
              <w:right w:type="dxa" w:w="100"/>
            </w:tcMar>
          </w:tcPr>
          <w:p>
            <w:r>
              <w:rPr>
                <w:rFonts w:ascii="Arial" w:cs="Arial" w:eastAsia="Arial" w:hAnsi="Arial"/>
                <w:b w:val="false"/>
                <w:bCs w:val="false"/>
                <w:color w:val="1A1A2E"/>
                <w:sz w:val="19"/>
                <w:szCs w:val="19"/>
              </w:rPr>
              <w:t xml:space="preserve">Advance planning, anticipation, preparation</w:t>
            </w:r>
          </w:p>
        </w:tc>
        <w:tc>
          <w:tcPr>
            <w:tcW w:type="dxa" w:w="3780"/>
            <w:tcBorders>
              <w:top w:val="single" w:color="CCCCCC" w:sz="1"/>
              <w:left w:val="single" w:color="CCCCCC" w:sz="1"/>
              <w:bottom w:val="single" w:color="CCCCCC" w:sz="1"/>
              <w:right w:val="single" w:color="CCCCCC" w:sz="1"/>
            </w:tcBorders>
            <w:shd w:fill="FDECEA" w:val="clear"/>
            <w:tcMar>
              <w:top w:type="dxa" w:w="65"/>
              <w:left w:type="dxa" w:w="100"/>
              <w:bottom w:type="dxa" w:w="65"/>
              <w:right w:type="dxa" w:w="100"/>
            </w:tcMar>
          </w:tcPr>
          <w:p>
            <w:r>
              <w:rPr>
                <w:rFonts w:ascii="Arial" w:cs="Arial" w:eastAsia="Arial" w:hAnsi="Arial"/>
                <w:b w:val="false"/>
                <w:bCs w:val="false"/>
                <w:color w:val="1A1A2E"/>
                <w:sz w:val="19"/>
                <w:szCs w:val="19"/>
              </w:rPr>
              <w:t xml:space="preserve">When there is insufficient advance planning</w:t>
            </w:r>
          </w:p>
        </w:tc>
      </w:tr>
      <w:tr>
        <w:tc>
          <w:tcPr>
            <w:tcW w:type="dxa" w:w="540"/>
            <w:tcBorders>
              <w:top w:val="single" w:color="CCCCCC" w:sz="1"/>
              <w:left w:val="single" w:color="CCCCCC" w:sz="1"/>
              <w:bottom w:val="single" w:color="CCCCCC" w:sz="1"/>
              <w:right w:val="single" w:color="CCCCCC" w:sz="1"/>
            </w:tcBorders>
            <w:shd w:fill="E8EDF5" w:val="clear"/>
            <w:tcMar>
              <w:top w:type="dxa" w:w="65"/>
              <w:left w:type="dxa" w:w="100"/>
              <w:bottom w:type="dxa" w:w="65"/>
              <w:right w:type="dxa" w:w="100"/>
            </w:tcMar>
          </w:tcPr>
          <w:p>
            <w:r>
              <w:rPr>
                <w:rFonts w:ascii="Arial" w:cs="Arial" w:eastAsia="Arial" w:hAnsi="Arial"/>
                <w:b/>
                <w:bCs/>
                <w:color w:val="1B3A6B"/>
                <w:sz w:val="19"/>
                <w:szCs w:val="19"/>
              </w:rPr>
              <w:t xml:space="preserve">2</w:t>
            </w:r>
          </w:p>
        </w:tc>
        <w:tc>
          <w:tcPr>
            <w:tcW w:type="dxa" w:w="2160"/>
            <w:tcBorders>
              <w:top w:val="single" w:color="CCCCCC" w:sz="1"/>
              <w:left w:val="single" w:color="CCCCCC" w:sz="1"/>
              <w:bottom w:val="single" w:color="CCCCCC" w:sz="1"/>
              <w:right w:val="single" w:color="CCCCCC" w:sz="1"/>
            </w:tcBorders>
            <w:shd w:fill="E6F4F1" w:val="clear"/>
            <w:tcMar>
              <w:top w:type="dxa" w:w="65"/>
              <w:left w:type="dxa" w:w="100"/>
              <w:bottom w:type="dxa" w:w="65"/>
              <w:right w:type="dxa" w:w="100"/>
            </w:tcMar>
          </w:tcPr>
          <w:p>
            <w:r>
              <w:rPr>
                <w:rFonts w:ascii="Arial" w:cs="Arial" w:eastAsia="Arial" w:hAnsi="Arial"/>
                <w:b w:val="false"/>
                <w:bCs w:val="false"/>
                <w:color w:val="1A1A2E"/>
                <w:sz w:val="19"/>
                <w:szCs w:val="19"/>
              </w:rPr>
              <w:t xml:space="preserve">Organised / Disciplined</w:t>
            </w:r>
          </w:p>
        </w:tc>
        <w:tc>
          <w:tcPr>
            <w:tcW w:type="dxa" w:w="2880"/>
            <w:tcBorders>
              <w:top w:val="single" w:color="CCCCCC" w:sz="1"/>
              <w:left w:val="single" w:color="CCCCCC" w:sz="1"/>
              <w:bottom w:val="single" w:color="CCCCCC" w:sz="1"/>
              <w:right w:val="single" w:color="CCCCCC" w:sz="1"/>
            </w:tcBorders>
            <w:shd w:fill="EEF2F8" w:val="clear"/>
            <w:tcMar>
              <w:top w:type="dxa" w:w="65"/>
              <w:left w:type="dxa" w:w="100"/>
              <w:bottom w:type="dxa" w:w="65"/>
              <w:right w:type="dxa" w:w="100"/>
            </w:tcMar>
          </w:tcPr>
          <w:p>
            <w:r>
              <w:rPr>
                <w:rFonts w:ascii="Arial" w:cs="Arial" w:eastAsia="Arial" w:hAnsi="Arial"/>
                <w:b w:val="false"/>
                <w:bCs w:val="false"/>
                <w:color w:val="1A1A2E"/>
                <w:sz w:val="19"/>
                <w:szCs w:val="19"/>
              </w:rPr>
              <w:t xml:space="preserve">Structure, order, company-focused reliability</w:t>
            </w:r>
          </w:p>
        </w:tc>
        <w:tc>
          <w:tcPr>
            <w:tcW w:type="dxa" w:w="3780"/>
            <w:tcBorders>
              <w:top w:val="single" w:color="CCCCCC" w:sz="1"/>
              <w:left w:val="single" w:color="CCCCCC" w:sz="1"/>
              <w:bottom w:val="single" w:color="CCCCCC" w:sz="1"/>
              <w:right w:val="single" w:color="CCCCCC" w:sz="1"/>
            </w:tcBorders>
            <w:shd w:fill="FDECEA" w:val="clear"/>
            <w:tcMar>
              <w:top w:type="dxa" w:w="65"/>
              <w:left w:type="dxa" w:w="100"/>
              <w:bottom w:type="dxa" w:w="65"/>
              <w:right w:type="dxa" w:w="100"/>
            </w:tcMar>
          </w:tcPr>
          <w:p>
            <w:r>
              <w:rPr>
                <w:rFonts w:ascii="Arial" w:cs="Arial" w:eastAsia="Arial" w:hAnsi="Arial"/>
                <w:b w:val="false"/>
                <w:bCs w:val="false"/>
                <w:color w:val="1A1A2E"/>
                <w:sz w:val="19"/>
                <w:szCs w:val="19"/>
              </w:rPr>
              <w:t xml:space="preserve">When structural and organisational principles are not respected</w:t>
            </w:r>
          </w:p>
        </w:tc>
      </w:tr>
      <w:tr>
        <w:tc>
          <w:tcPr>
            <w:tcW w:type="dxa" w:w="540"/>
            <w:tcBorders>
              <w:top w:val="single" w:color="CCCCCC" w:sz="1"/>
              <w:left w:val="single" w:color="CCCCCC" w:sz="1"/>
              <w:bottom w:val="single" w:color="CCCCCC" w:sz="1"/>
              <w:right w:val="single" w:color="CCCCCC" w:sz="1"/>
            </w:tcBorders>
            <w:shd w:fill="E8EDF5" w:val="clear"/>
            <w:tcMar>
              <w:top w:type="dxa" w:w="65"/>
              <w:left w:type="dxa" w:w="100"/>
              <w:bottom w:type="dxa" w:w="65"/>
              <w:right w:type="dxa" w:w="100"/>
            </w:tcMar>
          </w:tcPr>
          <w:p>
            <w:r>
              <w:rPr>
                <w:rFonts w:ascii="Arial" w:cs="Arial" w:eastAsia="Arial" w:hAnsi="Arial"/>
                <w:b/>
                <w:bCs/>
                <w:color w:val="1B3A6B"/>
                <w:sz w:val="19"/>
                <w:szCs w:val="19"/>
              </w:rPr>
              <w:t xml:space="preserve">3</w:t>
            </w:r>
          </w:p>
        </w:tc>
        <w:tc>
          <w:tcPr>
            <w:tcW w:type="dxa" w:w="2160"/>
            <w:tcBorders>
              <w:top w:val="single" w:color="CCCCCC" w:sz="1"/>
              <w:left w:val="single" w:color="CCCCCC" w:sz="1"/>
              <w:bottom w:val="single" w:color="CCCCCC" w:sz="1"/>
              <w:right w:val="single" w:color="CCCCCC" w:sz="1"/>
            </w:tcBorders>
            <w:shd w:fill="E6F4F1" w:val="clear"/>
            <w:tcMar>
              <w:top w:type="dxa" w:w="65"/>
              <w:left w:type="dxa" w:w="100"/>
              <w:bottom w:type="dxa" w:w="65"/>
              <w:right w:type="dxa" w:w="100"/>
            </w:tcMar>
          </w:tcPr>
          <w:p>
            <w:r>
              <w:rPr>
                <w:rFonts w:ascii="Arial" w:cs="Arial" w:eastAsia="Arial" w:hAnsi="Arial"/>
                <w:b w:val="false"/>
                <w:bCs w:val="false"/>
                <w:color w:val="1A1A2E"/>
                <w:sz w:val="19"/>
                <w:szCs w:val="19"/>
              </w:rPr>
              <w:t xml:space="preserve">Maintaining / Sustaining</w:t>
            </w:r>
          </w:p>
        </w:tc>
        <w:tc>
          <w:tcPr>
            <w:tcW w:type="dxa" w:w="2880"/>
            <w:tcBorders>
              <w:top w:val="single" w:color="CCCCCC" w:sz="1"/>
              <w:left w:val="single" w:color="CCCCCC" w:sz="1"/>
              <w:bottom w:val="single" w:color="CCCCCC" w:sz="1"/>
              <w:right w:val="single" w:color="CCCCCC" w:sz="1"/>
            </w:tcBorders>
            <w:shd w:fill="EEF2F8" w:val="clear"/>
            <w:tcMar>
              <w:top w:type="dxa" w:w="65"/>
              <w:left w:type="dxa" w:w="100"/>
              <w:bottom w:type="dxa" w:w="65"/>
              <w:right w:type="dxa" w:w="100"/>
            </w:tcMar>
          </w:tcPr>
          <w:p>
            <w:r>
              <w:rPr>
                <w:rFonts w:ascii="Arial" w:cs="Arial" w:eastAsia="Arial" w:hAnsi="Arial"/>
                <w:b w:val="false"/>
                <w:bCs w:val="false"/>
                <w:color w:val="1A1A2E"/>
                <w:sz w:val="19"/>
                <w:szCs w:val="19"/>
              </w:rPr>
              <w:t xml:space="preserve">Efficiency, high standards, consistent productivity</w:t>
            </w:r>
          </w:p>
        </w:tc>
        <w:tc>
          <w:tcPr>
            <w:tcW w:type="dxa" w:w="3780"/>
            <w:tcBorders>
              <w:top w:val="single" w:color="CCCCCC" w:sz="1"/>
              <w:left w:val="single" w:color="CCCCCC" w:sz="1"/>
              <w:bottom w:val="single" w:color="CCCCCC" w:sz="1"/>
              <w:right w:val="single" w:color="CCCCCC" w:sz="1"/>
            </w:tcBorders>
            <w:shd w:fill="FDECEA" w:val="clear"/>
            <w:tcMar>
              <w:top w:type="dxa" w:w="65"/>
              <w:left w:type="dxa" w:w="100"/>
              <w:bottom w:type="dxa" w:w="65"/>
              <w:right w:type="dxa" w:w="100"/>
            </w:tcMar>
          </w:tcPr>
          <w:p>
            <w:r>
              <w:rPr>
                <w:rFonts w:ascii="Arial" w:cs="Arial" w:eastAsia="Arial" w:hAnsi="Arial"/>
                <w:b w:val="false"/>
                <w:bCs w:val="false"/>
                <w:color w:val="1A1A2E"/>
                <w:sz w:val="19"/>
                <w:szCs w:val="19"/>
              </w:rPr>
              <w:t xml:space="preserve">When effort is not maintained at high standards</w:t>
            </w:r>
          </w:p>
        </w:tc>
      </w:tr>
      <w:tr>
        <w:tc>
          <w:tcPr>
            <w:tcW w:type="dxa" w:w="540"/>
            <w:tcBorders>
              <w:top w:val="single" w:color="CCCCCC" w:sz="1"/>
              <w:left w:val="single" w:color="CCCCCC" w:sz="1"/>
              <w:bottom w:val="single" w:color="CCCCCC" w:sz="1"/>
              <w:right w:val="single" w:color="CCCCCC" w:sz="1"/>
            </w:tcBorders>
            <w:shd w:fill="E8EDF5" w:val="clear"/>
            <w:tcMar>
              <w:top w:type="dxa" w:w="65"/>
              <w:left w:type="dxa" w:w="100"/>
              <w:bottom w:type="dxa" w:w="65"/>
              <w:right w:type="dxa" w:w="100"/>
            </w:tcMar>
          </w:tcPr>
          <w:p>
            <w:r>
              <w:rPr>
                <w:rFonts w:ascii="Arial" w:cs="Arial" w:eastAsia="Arial" w:hAnsi="Arial"/>
                <w:b/>
                <w:bCs/>
                <w:color w:val="1B3A6B"/>
                <w:sz w:val="19"/>
                <w:szCs w:val="19"/>
              </w:rPr>
              <w:t xml:space="preserve">4</w:t>
            </w:r>
          </w:p>
        </w:tc>
        <w:tc>
          <w:tcPr>
            <w:tcW w:type="dxa" w:w="2160"/>
            <w:tcBorders>
              <w:top w:val="single" w:color="CCCCCC" w:sz="1"/>
              <w:left w:val="single" w:color="CCCCCC" w:sz="1"/>
              <w:bottom w:val="single" w:color="CCCCCC" w:sz="1"/>
              <w:right w:val="single" w:color="CCCCCC" w:sz="1"/>
            </w:tcBorders>
            <w:shd w:fill="E6F4F1" w:val="clear"/>
            <w:tcMar>
              <w:top w:type="dxa" w:w="65"/>
              <w:left w:type="dxa" w:w="100"/>
              <w:bottom w:type="dxa" w:w="65"/>
              <w:right w:type="dxa" w:w="100"/>
            </w:tcMar>
          </w:tcPr>
          <w:p>
            <w:r>
              <w:rPr>
                <w:rFonts w:ascii="Arial" w:cs="Arial" w:eastAsia="Arial" w:hAnsi="Arial"/>
                <w:b w:val="false"/>
                <w:bCs w:val="false"/>
                <w:color w:val="1A1A2E"/>
                <w:sz w:val="19"/>
                <w:szCs w:val="19"/>
              </w:rPr>
              <w:t xml:space="preserve">Mentoring / Coaching / Counselling</w:t>
            </w:r>
          </w:p>
        </w:tc>
        <w:tc>
          <w:tcPr>
            <w:tcW w:type="dxa" w:w="2880"/>
            <w:tcBorders>
              <w:top w:val="single" w:color="CCCCCC" w:sz="1"/>
              <w:left w:val="single" w:color="CCCCCC" w:sz="1"/>
              <w:bottom w:val="single" w:color="CCCCCC" w:sz="1"/>
              <w:right w:val="single" w:color="CCCCCC" w:sz="1"/>
            </w:tcBorders>
            <w:shd w:fill="EEF2F8" w:val="clear"/>
            <w:tcMar>
              <w:top w:type="dxa" w:w="65"/>
              <w:left w:type="dxa" w:w="100"/>
              <w:bottom w:type="dxa" w:w="65"/>
              <w:right w:type="dxa" w:w="100"/>
            </w:tcMar>
          </w:tcPr>
          <w:p>
            <w:r>
              <w:rPr>
                <w:rFonts w:ascii="Arial" w:cs="Arial" w:eastAsia="Arial" w:hAnsi="Arial"/>
                <w:b w:val="false"/>
                <w:bCs w:val="false"/>
                <w:color w:val="1A1A2E"/>
                <w:sz w:val="19"/>
                <w:szCs w:val="19"/>
              </w:rPr>
              <w:t xml:space="preserve">Development, feedback, learning culture</w:t>
            </w:r>
          </w:p>
        </w:tc>
        <w:tc>
          <w:tcPr>
            <w:tcW w:type="dxa" w:w="3780"/>
            <w:tcBorders>
              <w:top w:val="single" w:color="CCCCCC" w:sz="1"/>
              <w:left w:val="single" w:color="CCCCCC" w:sz="1"/>
              <w:bottom w:val="single" w:color="CCCCCC" w:sz="1"/>
              <w:right w:val="single" w:color="CCCCCC" w:sz="1"/>
            </w:tcBorders>
            <w:shd w:fill="FDECEA" w:val="clear"/>
            <w:tcMar>
              <w:top w:type="dxa" w:w="65"/>
              <w:left w:type="dxa" w:w="100"/>
              <w:bottom w:type="dxa" w:w="65"/>
              <w:right w:type="dxa" w:w="100"/>
            </w:tcMar>
          </w:tcPr>
          <w:p>
            <w:r>
              <w:rPr>
                <w:rFonts w:ascii="Arial" w:cs="Arial" w:eastAsia="Arial" w:hAnsi="Arial"/>
                <w:b w:val="false"/>
                <w:bCs w:val="false"/>
                <w:color w:val="1A1A2E"/>
                <w:sz w:val="19"/>
                <w:szCs w:val="19"/>
              </w:rPr>
              <w:t xml:space="preserve">When there is lack of performance productivity</w:t>
            </w:r>
          </w:p>
        </w:tc>
      </w:tr>
      <w:tr>
        <w:tc>
          <w:tcPr>
            <w:tcW w:type="dxa" w:w="540"/>
            <w:tcBorders>
              <w:top w:val="single" w:color="CCCCCC" w:sz="1"/>
              <w:left w:val="single" w:color="CCCCCC" w:sz="1"/>
              <w:bottom w:val="single" w:color="CCCCCC" w:sz="1"/>
              <w:right w:val="single" w:color="CCCCCC" w:sz="1"/>
            </w:tcBorders>
            <w:shd w:fill="E8EDF5" w:val="clear"/>
            <w:tcMar>
              <w:top w:type="dxa" w:w="65"/>
              <w:left w:type="dxa" w:w="100"/>
              <w:bottom w:type="dxa" w:w="65"/>
              <w:right w:type="dxa" w:w="100"/>
            </w:tcMar>
          </w:tcPr>
          <w:p>
            <w:r>
              <w:rPr>
                <w:rFonts w:ascii="Arial" w:cs="Arial" w:eastAsia="Arial" w:hAnsi="Arial"/>
                <w:b/>
                <w:bCs/>
                <w:color w:val="1B3A6B"/>
                <w:sz w:val="19"/>
                <w:szCs w:val="19"/>
              </w:rPr>
              <w:t xml:space="preserve">5</w:t>
            </w:r>
          </w:p>
        </w:tc>
        <w:tc>
          <w:tcPr>
            <w:tcW w:type="dxa" w:w="2160"/>
            <w:tcBorders>
              <w:top w:val="single" w:color="CCCCCC" w:sz="1"/>
              <w:left w:val="single" w:color="CCCCCC" w:sz="1"/>
              <w:bottom w:val="single" w:color="CCCCCC" w:sz="1"/>
              <w:right w:val="single" w:color="CCCCCC" w:sz="1"/>
            </w:tcBorders>
            <w:shd w:fill="E6F4F1" w:val="clear"/>
            <w:tcMar>
              <w:top w:type="dxa" w:w="65"/>
              <w:left w:type="dxa" w:w="100"/>
              <w:bottom w:type="dxa" w:w="65"/>
              <w:right w:type="dxa" w:w="100"/>
            </w:tcMar>
          </w:tcPr>
          <w:p>
            <w:r>
              <w:rPr>
                <w:rFonts w:ascii="Arial" w:cs="Arial" w:eastAsia="Arial" w:hAnsi="Arial"/>
                <w:b w:val="false"/>
                <w:bCs w:val="false"/>
                <w:color w:val="1A1A2E"/>
                <w:sz w:val="19"/>
                <w:szCs w:val="19"/>
              </w:rPr>
              <w:t xml:space="preserve">Diplomacy / Mediating / Facilitating</w:t>
            </w:r>
          </w:p>
        </w:tc>
        <w:tc>
          <w:tcPr>
            <w:tcW w:type="dxa" w:w="2880"/>
            <w:tcBorders>
              <w:top w:val="single" w:color="CCCCCC" w:sz="1"/>
              <w:left w:val="single" w:color="CCCCCC" w:sz="1"/>
              <w:bottom w:val="single" w:color="CCCCCC" w:sz="1"/>
              <w:right w:val="single" w:color="CCCCCC" w:sz="1"/>
            </w:tcBorders>
            <w:shd w:fill="EEF2F8" w:val="clear"/>
            <w:tcMar>
              <w:top w:type="dxa" w:w="65"/>
              <w:left w:type="dxa" w:w="100"/>
              <w:bottom w:type="dxa" w:w="65"/>
              <w:right w:type="dxa" w:w="100"/>
            </w:tcMar>
          </w:tcPr>
          <w:p>
            <w:r>
              <w:rPr>
                <w:rFonts w:ascii="Arial" w:cs="Arial" w:eastAsia="Arial" w:hAnsi="Arial"/>
                <w:b w:val="false"/>
                <w:bCs w:val="false"/>
                <w:color w:val="1A1A2E"/>
                <w:sz w:val="19"/>
                <w:szCs w:val="19"/>
              </w:rPr>
              <w:t xml:space="preserve">Harmony, conflict resolution, culture</w:t>
            </w:r>
          </w:p>
        </w:tc>
        <w:tc>
          <w:tcPr>
            <w:tcW w:type="dxa" w:w="3780"/>
            <w:tcBorders>
              <w:top w:val="single" w:color="CCCCCC" w:sz="1"/>
              <w:left w:val="single" w:color="CCCCCC" w:sz="1"/>
              <w:bottom w:val="single" w:color="CCCCCC" w:sz="1"/>
              <w:right w:val="single" w:color="CCCCCC" w:sz="1"/>
            </w:tcBorders>
            <w:shd w:fill="FDECEA" w:val="clear"/>
            <w:tcMar>
              <w:top w:type="dxa" w:w="65"/>
              <w:left w:type="dxa" w:w="100"/>
              <w:bottom w:type="dxa" w:w="65"/>
              <w:right w:type="dxa" w:w="100"/>
            </w:tcMar>
          </w:tcPr>
          <w:p>
            <w:r>
              <w:rPr>
                <w:rFonts w:ascii="Arial" w:cs="Arial" w:eastAsia="Arial" w:hAnsi="Arial"/>
                <w:b w:val="false"/>
                <w:bCs w:val="false"/>
                <w:color w:val="1A1A2E"/>
                <w:sz w:val="19"/>
                <w:szCs w:val="19"/>
              </w:rPr>
              <w:t xml:space="preserve">When people fail to get along peacefully</w:t>
            </w:r>
          </w:p>
        </w:tc>
      </w:tr>
      <w:tr>
        <w:tc>
          <w:tcPr>
            <w:tcW w:type="dxa" w:w="540"/>
            <w:tcBorders>
              <w:top w:val="single" w:color="CCCCCC" w:sz="1"/>
              <w:left w:val="single" w:color="CCCCCC" w:sz="1"/>
              <w:bottom w:val="single" w:color="CCCCCC" w:sz="1"/>
              <w:right w:val="single" w:color="CCCCCC" w:sz="1"/>
            </w:tcBorders>
            <w:shd w:fill="E8EDF5" w:val="clear"/>
            <w:tcMar>
              <w:top w:type="dxa" w:w="65"/>
              <w:left w:type="dxa" w:w="100"/>
              <w:bottom w:type="dxa" w:w="65"/>
              <w:right w:type="dxa" w:w="100"/>
            </w:tcMar>
          </w:tcPr>
          <w:p>
            <w:r>
              <w:rPr>
                <w:rFonts w:ascii="Arial" w:cs="Arial" w:eastAsia="Arial" w:hAnsi="Arial"/>
                <w:b/>
                <w:bCs/>
                <w:color w:val="1B3A6B"/>
                <w:sz w:val="19"/>
                <w:szCs w:val="19"/>
              </w:rPr>
              <w:t xml:space="preserve">6</w:t>
            </w:r>
          </w:p>
        </w:tc>
        <w:tc>
          <w:tcPr>
            <w:tcW w:type="dxa" w:w="2160"/>
            <w:tcBorders>
              <w:top w:val="single" w:color="CCCCCC" w:sz="1"/>
              <w:left w:val="single" w:color="CCCCCC" w:sz="1"/>
              <w:bottom w:val="single" w:color="CCCCCC" w:sz="1"/>
              <w:right w:val="single" w:color="CCCCCC" w:sz="1"/>
            </w:tcBorders>
            <w:shd w:fill="E6F4F1" w:val="clear"/>
            <w:tcMar>
              <w:top w:type="dxa" w:w="65"/>
              <w:left w:type="dxa" w:w="100"/>
              <w:bottom w:type="dxa" w:w="65"/>
              <w:right w:type="dxa" w:w="100"/>
            </w:tcMar>
          </w:tcPr>
          <w:p>
            <w:r>
              <w:rPr>
                <w:rFonts w:ascii="Arial" w:cs="Arial" w:eastAsia="Arial" w:hAnsi="Arial"/>
                <w:b w:val="false"/>
                <w:bCs w:val="false"/>
                <w:color w:val="1A1A2E"/>
                <w:sz w:val="19"/>
                <w:szCs w:val="19"/>
              </w:rPr>
              <w:t xml:space="preserve">Listening / Sensing</w:t>
            </w:r>
          </w:p>
        </w:tc>
        <w:tc>
          <w:tcPr>
            <w:tcW w:type="dxa" w:w="2880"/>
            <w:tcBorders>
              <w:top w:val="single" w:color="CCCCCC" w:sz="1"/>
              <w:left w:val="single" w:color="CCCCCC" w:sz="1"/>
              <w:bottom w:val="single" w:color="CCCCCC" w:sz="1"/>
              <w:right w:val="single" w:color="CCCCCC" w:sz="1"/>
            </w:tcBorders>
            <w:shd w:fill="EEF2F8" w:val="clear"/>
            <w:tcMar>
              <w:top w:type="dxa" w:w="65"/>
              <w:left w:type="dxa" w:w="100"/>
              <w:bottom w:type="dxa" w:w="65"/>
              <w:right w:type="dxa" w:w="100"/>
            </w:tcMar>
          </w:tcPr>
          <w:p>
            <w:r>
              <w:rPr>
                <w:rFonts w:ascii="Arial" w:cs="Arial" w:eastAsia="Arial" w:hAnsi="Arial"/>
                <w:b w:val="false"/>
                <w:bCs w:val="false"/>
                <w:color w:val="1A1A2E"/>
                <w:sz w:val="19"/>
                <w:szCs w:val="19"/>
              </w:rPr>
              <w:t xml:space="preserve">Deep empathy, care, relational attentiveness</w:t>
            </w:r>
          </w:p>
        </w:tc>
        <w:tc>
          <w:tcPr>
            <w:tcW w:type="dxa" w:w="3780"/>
            <w:tcBorders>
              <w:top w:val="single" w:color="CCCCCC" w:sz="1"/>
              <w:left w:val="single" w:color="CCCCCC" w:sz="1"/>
              <w:bottom w:val="single" w:color="CCCCCC" w:sz="1"/>
              <w:right w:val="single" w:color="CCCCCC" w:sz="1"/>
            </w:tcBorders>
            <w:shd w:fill="FDECEA" w:val="clear"/>
            <w:tcMar>
              <w:top w:type="dxa" w:w="65"/>
              <w:left w:type="dxa" w:w="100"/>
              <w:bottom w:type="dxa" w:w="65"/>
              <w:right w:type="dxa" w:w="100"/>
            </w:tcMar>
          </w:tcPr>
          <w:p>
            <w:r>
              <w:rPr>
                <w:rFonts w:ascii="Arial" w:cs="Arial" w:eastAsia="Arial" w:hAnsi="Arial"/>
                <w:b w:val="false"/>
                <w:bCs w:val="false"/>
                <w:color w:val="1A1A2E"/>
                <w:sz w:val="19"/>
                <w:szCs w:val="19"/>
              </w:rPr>
              <w:t xml:space="preserve">When there is an absence of care, compassion and listening</w:t>
            </w:r>
          </w:p>
        </w:tc>
      </w:tr>
      <w:tr>
        <w:tc>
          <w:tcPr>
            <w:tcW w:type="dxa" w:w="540"/>
            <w:tcBorders>
              <w:top w:val="single" w:color="CCCCCC" w:sz="1"/>
              <w:left w:val="single" w:color="CCCCCC" w:sz="1"/>
              <w:bottom w:val="single" w:color="CCCCCC" w:sz="1"/>
              <w:right w:val="single" w:color="CCCCCC" w:sz="1"/>
            </w:tcBorders>
            <w:shd w:fill="E8EDF5" w:val="clear"/>
            <w:tcMar>
              <w:top w:type="dxa" w:w="65"/>
              <w:left w:type="dxa" w:w="100"/>
              <w:bottom w:type="dxa" w:w="65"/>
              <w:right w:type="dxa" w:w="100"/>
            </w:tcMar>
          </w:tcPr>
          <w:p>
            <w:r>
              <w:rPr>
                <w:rFonts w:ascii="Arial" w:cs="Arial" w:eastAsia="Arial" w:hAnsi="Arial"/>
                <w:b/>
                <w:bCs/>
                <w:color w:val="1B3A6B"/>
                <w:sz w:val="19"/>
                <w:szCs w:val="19"/>
              </w:rPr>
              <w:t xml:space="preserve">7</w:t>
            </w:r>
          </w:p>
        </w:tc>
        <w:tc>
          <w:tcPr>
            <w:tcW w:type="dxa" w:w="2160"/>
            <w:tcBorders>
              <w:top w:val="single" w:color="CCCCCC" w:sz="1"/>
              <w:left w:val="single" w:color="CCCCCC" w:sz="1"/>
              <w:bottom w:val="single" w:color="CCCCCC" w:sz="1"/>
              <w:right w:val="single" w:color="CCCCCC" w:sz="1"/>
            </w:tcBorders>
            <w:shd w:fill="E6F4F1" w:val="clear"/>
            <w:tcMar>
              <w:top w:type="dxa" w:w="65"/>
              <w:left w:type="dxa" w:w="100"/>
              <w:bottom w:type="dxa" w:w="65"/>
              <w:right w:type="dxa" w:w="100"/>
            </w:tcMar>
          </w:tcPr>
          <w:p>
            <w:r>
              <w:rPr>
                <w:rFonts w:ascii="Arial" w:cs="Arial" w:eastAsia="Arial" w:hAnsi="Arial"/>
                <w:b w:val="false"/>
                <w:bCs w:val="false"/>
                <w:color w:val="1A1A2E"/>
                <w:sz w:val="19"/>
                <w:szCs w:val="19"/>
              </w:rPr>
              <w:t xml:space="preserve">Controlling / Stabilising</w:t>
            </w:r>
          </w:p>
        </w:tc>
        <w:tc>
          <w:tcPr>
            <w:tcW w:type="dxa" w:w="2880"/>
            <w:tcBorders>
              <w:top w:val="single" w:color="CCCCCC" w:sz="1"/>
              <w:left w:val="single" w:color="CCCCCC" w:sz="1"/>
              <w:bottom w:val="single" w:color="CCCCCC" w:sz="1"/>
              <w:right w:val="single" w:color="CCCCCC" w:sz="1"/>
            </w:tcBorders>
            <w:shd w:fill="EEF2F8" w:val="clear"/>
            <w:tcMar>
              <w:top w:type="dxa" w:w="65"/>
              <w:left w:type="dxa" w:w="100"/>
              <w:bottom w:type="dxa" w:w="65"/>
              <w:right w:type="dxa" w:w="100"/>
            </w:tcMar>
          </w:tcPr>
          <w:p>
            <w:r>
              <w:rPr>
                <w:rFonts w:ascii="Arial" w:cs="Arial" w:eastAsia="Arial" w:hAnsi="Arial"/>
                <w:b w:val="false"/>
                <w:bCs w:val="false"/>
                <w:color w:val="1A1A2E"/>
                <w:sz w:val="19"/>
                <w:szCs w:val="19"/>
              </w:rPr>
              <w:t xml:space="preserve">Authority, stability, predictable structure</w:t>
            </w:r>
          </w:p>
        </w:tc>
        <w:tc>
          <w:tcPr>
            <w:tcW w:type="dxa" w:w="3780"/>
            <w:tcBorders>
              <w:top w:val="single" w:color="CCCCCC" w:sz="1"/>
              <w:left w:val="single" w:color="CCCCCC" w:sz="1"/>
              <w:bottom w:val="single" w:color="CCCCCC" w:sz="1"/>
              <w:right w:val="single" w:color="CCCCCC" w:sz="1"/>
            </w:tcBorders>
            <w:shd w:fill="FDECEA" w:val="clear"/>
            <w:tcMar>
              <w:top w:type="dxa" w:w="65"/>
              <w:left w:type="dxa" w:w="100"/>
              <w:bottom w:type="dxa" w:w="65"/>
              <w:right w:type="dxa" w:w="100"/>
            </w:tcMar>
          </w:tcPr>
          <w:p>
            <w:r>
              <w:rPr>
                <w:rFonts w:ascii="Arial" w:cs="Arial" w:eastAsia="Arial" w:hAnsi="Arial"/>
                <w:b w:val="false"/>
                <w:bCs w:val="false"/>
                <w:color w:val="1A1A2E"/>
                <w:sz w:val="19"/>
                <w:szCs w:val="19"/>
              </w:rPr>
              <w:t xml:space="preserve">When there is an absence of control and stability</w:t>
            </w:r>
          </w:p>
        </w:tc>
      </w:tr>
      <w:tr>
        <w:tc>
          <w:tcPr>
            <w:tcW w:type="dxa" w:w="540"/>
            <w:tcBorders>
              <w:top w:val="single" w:color="CCCCCC" w:sz="1"/>
              <w:left w:val="single" w:color="CCCCCC" w:sz="1"/>
              <w:bottom w:val="single" w:color="CCCCCC" w:sz="1"/>
              <w:right w:val="single" w:color="CCCCCC" w:sz="1"/>
            </w:tcBorders>
            <w:shd w:fill="E8EDF5" w:val="clear"/>
            <w:tcMar>
              <w:top w:type="dxa" w:w="65"/>
              <w:left w:type="dxa" w:w="100"/>
              <w:bottom w:type="dxa" w:w="65"/>
              <w:right w:type="dxa" w:w="100"/>
            </w:tcMar>
          </w:tcPr>
          <w:p>
            <w:r>
              <w:rPr>
                <w:rFonts w:ascii="Arial" w:cs="Arial" w:eastAsia="Arial" w:hAnsi="Arial"/>
                <w:b/>
                <w:bCs/>
                <w:color w:val="1B3A6B"/>
                <w:sz w:val="19"/>
                <w:szCs w:val="19"/>
              </w:rPr>
              <w:t xml:space="preserve">8</w:t>
            </w:r>
          </w:p>
        </w:tc>
        <w:tc>
          <w:tcPr>
            <w:tcW w:type="dxa" w:w="2160"/>
            <w:tcBorders>
              <w:top w:val="single" w:color="CCCCCC" w:sz="1"/>
              <w:left w:val="single" w:color="CCCCCC" w:sz="1"/>
              <w:bottom w:val="single" w:color="CCCCCC" w:sz="1"/>
              <w:right w:val="single" w:color="CCCCCC" w:sz="1"/>
            </w:tcBorders>
            <w:shd w:fill="E6F4F1" w:val="clear"/>
            <w:tcMar>
              <w:top w:type="dxa" w:w="65"/>
              <w:left w:type="dxa" w:w="100"/>
              <w:bottom w:type="dxa" w:w="65"/>
              <w:right w:type="dxa" w:w="100"/>
            </w:tcMar>
          </w:tcPr>
          <w:p>
            <w:r>
              <w:rPr>
                <w:rFonts w:ascii="Arial" w:cs="Arial" w:eastAsia="Arial" w:hAnsi="Arial"/>
                <w:b w:val="false"/>
                <w:bCs w:val="false"/>
                <w:color w:val="1A1A2E"/>
                <w:sz w:val="19"/>
                <w:szCs w:val="19"/>
              </w:rPr>
              <w:t xml:space="preserve">Processing / Managing</w:t>
            </w:r>
          </w:p>
        </w:tc>
        <w:tc>
          <w:tcPr>
            <w:tcW w:type="dxa" w:w="2880"/>
            <w:tcBorders>
              <w:top w:val="single" w:color="CCCCCC" w:sz="1"/>
              <w:left w:val="single" w:color="CCCCCC" w:sz="1"/>
              <w:bottom w:val="single" w:color="CCCCCC" w:sz="1"/>
              <w:right w:val="single" w:color="CCCCCC" w:sz="1"/>
            </w:tcBorders>
            <w:shd w:fill="EEF2F8" w:val="clear"/>
            <w:tcMar>
              <w:top w:type="dxa" w:w="65"/>
              <w:left w:type="dxa" w:w="100"/>
              <w:bottom w:type="dxa" w:w="65"/>
              <w:right w:type="dxa" w:w="100"/>
            </w:tcMar>
          </w:tcPr>
          <w:p>
            <w:r>
              <w:rPr>
                <w:rFonts w:ascii="Arial" w:cs="Arial" w:eastAsia="Arial" w:hAnsi="Arial"/>
                <w:b w:val="false"/>
                <w:bCs w:val="false"/>
                <w:color w:val="1A1A2E"/>
                <w:sz w:val="19"/>
                <w:szCs w:val="19"/>
              </w:rPr>
              <w:t xml:space="preserve">Variety, challenge, complex problem engagement</w:t>
            </w:r>
          </w:p>
        </w:tc>
        <w:tc>
          <w:tcPr>
            <w:tcW w:type="dxa" w:w="3780"/>
            <w:tcBorders>
              <w:top w:val="single" w:color="CCCCCC" w:sz="1"/>
              <w:left w:val="single" w:color="CCCCCC" w:sz="1"/>
              <w:bottom w:val="single" w:color="CCCCCC" w:sz="1"/>
              <w:right w:val="single" w:color="CCCCCC" w:sz="1"/>
            </w:tcBorders>
            <w:shd w:fill="FDECEA" w:val="clear"/>
            <w:tcMar>
              <w:top w:type="dxa" w:w="65"/>
              <w:left w:type="dxa" w:w="100"/>
              <w:bottom w:type="dxa" w:w="65"/>
              <w:right w:type="dxa" w:w="100"/>
            </w:tcMar>
          </w:tcPr>
          <w:p>
            <w:r>
              <w:rPr>
                <w:rFonts w:ascii="Arial" w:cs="Arial" w:eastAsia="Arial" w:hAnsi="Arial"/>
                <w:b w:val="false"/>
                <w:bCs w:val="false"/>
                <w:color w:val="1A1A2E"/>
                <w:sz w:val="19"/>
                <w:szCs w:val="19"/>
              </w:rPr>
              <w:t xml:space="preserve">When there is insufficient variety and challenge</w:t>
            </w:r>
          </w:p>
        </w:tc>
      </w:tr>
      <w:tr>
        <w:tc>
          <w:tcPr>
            <w:tcW w:type="dxa" w:w="540"/>
            <w:tcBorders>
              <w:top w:val="single" w:color="CCCCCC" w:sz="1"/>
              <w:left w:val="single" w:color="CCCCCC" w:sz="1"/>
              <w:bottom w:val="single" w:color="CCCCCC" w:sz="1"/>
              <w:right w:val="single" w:color="CCCCCC" w:sz="1"/>
            </w:tcBorders>
            <w:shd w:fill="E8EDF5" w:val="clear"/>
            <w:tcMar>
              <w:top w:type="dxa" w:w="65"/>
              <w:left w:type="dxa" w:w="100"/>
              <w:bottom w:type="dxa" w:w="65"/>
              <w:right w:type="dxa" w:w="100"/>
            </w:tcMar>
          </w:tcPr>
          <w:p>
            <w:r>
              <w:rPr>
                <w:rFonts w:ascii="Arial" w:cs="Arial" w:eastAsia="Arial" w:hAnsi="Arial"/>
                <w:b/>
                <w:bCs/>
                <w:color w:val="1B3A6B"/>
                <w:sz w:val="19"/>
                <w:szCs w:val="19"/>
              </w:rPr>
              <w:t xml:space="preserve">9</w:t>
            </w:r>
          </w:p>
        </w:tc>
        <w:tc>
          <w:tcPr>
            <w:tcW w:type="dxa" w:w="2160"/>
            <w:tcBorders>
              <w:top w:val="single" w:color="CCCCCC" w:sz="1"/>
              <w:left w:val="single" w:color="CCCCCC" w:sz="1"/>
              <w:bottom w:val="single" w:color="CCCCCC" w:sz="1"/>
              <w:right w:val="single" w:color="CCCCCC" w:sz="1"/>
            </w:tcBorders>
            <w:shd w:fill="E6F4F1" w:val="clear"/>
            <w:tcMar>
              <w:top w:type="dxa" w:w="65"/>
              <w:left w:type="dxa" w:w="100"/>
              <w:bottom w:type="dxa" w:w="65"/>
              <w:right w:type="dxa" w:w="100"/>
            </w:tcMar>
          </w:tcPr>
          <w:p>
            <w:r>
              <w:rPr>
                <w:rFonts w:ascii="Arial" w:cs="Arial" w:eastAsia="Arial" w:hAnsi="Arial"/>
                <w:b w:val="false"/>
                <w:bCs w:val="false"/>
                <w:color w:val="1A1A2E"/>
                <w:sz w:val="19"/>
                <w:szCs w:val="19"/>
              </w:rPr>
              <w:t xml:space="preserve">Efficiency</w:t>
            </w:r>
          </w:p>
        </w:tc>
        <w:tc>
          <w:tcPr>
            <w:tcW w:type="dxa" w:w="2880"/>
            <w:tcBorders>
              <w:top w:val="single" w:color="CCCCCC" w:sz="1"/>
              <w:left w:val="single" w:color="CCCCCC" w:sz="1"/>
              <w:bottom w:val="single" w:color="CCCCCC" w:sz="1"/>
              <w:right w:val="single" w:color="CCCCCC" w:sz="1"/>
            </w:tcBorders>
            <w:shd w:fill="EEF2F8" w:val="clear"/>
            <w:tcMar>
              <w:top w:type="dxa" w:w="65"/>
              <w:left w:type="dxa" w:w="100"/>
              <w:bottom w:type="dxa" w:w="65"/>
              <w:right w:type="dxa" w:w="100"/>
            </w:tcMar>
          </w:tcPr>
          <w:p>
            <w:r>
              <w:rPr>
                <w:rFonts w:ascii="Arial" w:cs="Arial" w:eastAsia="Arial" w:hAnsi="Arial"/>
                <w:b w:val="false"/>
                <w:bCs w:val="false"/>
                <w:color w:val="1A1A2E"/>
                <w:sz w:val="19"/>
                <w:szCs w:val="19"/>
              </w:rPr>
              <w:t xml:space="preserve">Time management, simplicity, process quality</w:t>
            </w:r>
          </w:p>
        </w:tc>
        <w:tc>
          <w:tcPr>
            <w:tcW w:type="dxa" w:w="3780"/>
            <w:tcBorders>
              <w:top w:val="single" w:color="CCCCCC" w:sz="1"/>
              <w:left w:val="single" w:color="CCCCCC" w:sz="1"/>
              <w:bottom w:val="single" w:color="CCCCCC" w:sz="1"/>
              <w:right w:val="single" w:color="CCCCCC" w:sz="1"/>
            </w:tcBorders>
            <w:shd w:fill="FDECEA" w:val="clear"/>
            <w:tcMar>
              <w:top w:type="dxa" w:w="65"/>
              <w:left w:type="dxa" w:w="100"/>
              <w:bottom w:type="dxa" w:w="65"/>
              <w:right w:type="dxa" w:w="100"/>
            </w:tcMar>
          </w:tcPr>
          <w:p>
            <w:r>
              <w:rPr>
                <w:rFonts w:ascii="Arial" w:cs="Arial" w:eastAsia="Arial" w:hAnsi="Arial"/>
                <w:b w:val="false"/>
                <w:bCs w:val="false"/>
                <w:color w:val="1A1A2E"/>
                <w:sz w:val="19"/>
                <w:szCs w:val="19"/>
              </w:rPr>
              <w:t xml:space="preserve">When simplicity is replaced by unnecessary complication</w:t>
            </w:r>
          </w:p>
        </w:tc>
      </w:tr>
      <w:tr>
        <w:tc>
          <w:tcPr>
            <w:tcW w:type="dxa" w:w="540"/>
            <w:tcBorders>
              <w:top w:val="single" w:color="CCCCCC" w:sz="1"/>
              <w:left w:val="single" w:color="CCCCCC" w:sz="1"/>
              <w:bottom w:val="single" w:color="CCCCCC" w:sz="1"/>
              <w:right w:val="single" w:color="CCCCCC" w:sz="1"/>
            </w:tcBorders>
            <w:shd w:fill="E8EDF5" w:val="clear"/>
            <w:tcMar>
              <w:top w:type="dxa" w:w="65"/>
              <w:left w:type="dxa" w:w="100"/>
              <w:bottom w:type="dxa" w:w="65"/>
              <w:right w:type="dxa" w:w="100"/>
            </w:tcMar>
          </w:tcPr>
          <w:p>
            <w:r>
              <w:rPr>
                <w:rFonts w:ascii="Arial" w:cs="Arial" w:eastAsia="Arial" w:hAnsi="Arial"/>
                <w:b/>
                <w:bCs/>
                <w:color w:val="1B3A6B"/>
                <w:sz w:val="19"/>
                <w:szCs w:val="19"/>
              </w:rPr>
              <w:t xml:space="preserve">10</w:t>
            </w:r>
          </w:p>
        </w:tc>
        <w:tc>
          <w:tcPr>
            <w:tcW w:type="dxa" w:w="2160"/>
            <w:tcBorders>
              <w:top w:val="single" w:color="CCCCCC" w:sz="1"/>
              <w:left w:val="single" w:color="CCCCCC" w:sz="1"/>
              <w:bottom w:val="single" w:color="CCCCCC" w:sz="1"/>
              <w:right w:val="single" w:color="CCCCCC" w:sz="1"/>
            </w:tcBorders>
            <w:shd w:fill="E6F4F1" w:val="clear"/>
            <w:tcMar>
              <w:top w:type="dxa" w:w="65"/>
              <w:left w:type="dxa" w:w="100"/>
              <w:bottom w:type="dxa" w:w="65"/>
              <w:right w:type="dxa" w:w="100"/>
            </w:tcMar>
          </w:tcPr>
          <w:p>
            <w:r>
              <w:rPr>
                <w:rFonts w:ascii="Arial" w:cs="Arial" w:eastAsia="Arial" w:hAnsi="Arial"/>
                <w:b w:val="false"/>
                <w:bCs w:val="false"/>
                <w:color w:val="1A1A2E"/>
                <w:sz w:val="19"/>
                <w:szCs w:val="19"/>
              </w:rPr>
              <w:t xml:space="preserve">Communicating / Articulating</w:t>
            </w:r>
          </w:p>
        </w:tc>
        <w:tc>
          <w:tcPr>
            <w:tcW w:type="dxa" w:w="2880"/>
            <w:tcBorders>
              <w:top w:val="single" w:color="CCCCCC" w:sz="1"/>
              <w:left w:val="single" w:color="CCCCCC" w:sz="1"/>
              <w:bottom w:val="single" w:color="CCCCCC" w:sz="1"/>
              <w:right w:val="single" w:color="CCCCCC" w:sz="1"/>
            </w:tcBorders>
            <w:shd w:fill="EEF2F8" w:val="clear"/>
            <w:tcMar>
              <w:top w:type="dxa" w:w="65"/>
              <w:left w:type="dxa" w:w="100"/>
              <w:bottom w:type="dxa" w:w="65"/>
              <w:right w:type="dxa" w:w="100"/>
            </w:tcMar>
          </w:tcPr>
          <w:p>
            <w:r>
              <w:rPr>
                <w:rFonts w:ascii="Arial" w:cs="Arial" w:eastAsia="Arial" w:hAnsi="Arial"/>
                <w:b w:val="false"/>
                <w:bCs w:val="false"/>
                <w:color w:val="1A1A2E"/>
                <w:sz w:val="19"/>
                <w:szCs w:val="19"/>
              </w:rPr>
              <w:t xml:space="preserve">Clear communication, articulation, transparency</w:t>
            </w:r>
          </w:p>
        </w:tc>
        <w:tc>
          <w:tcPr>
            <w:tcW w:type="dxa" w:w="3780"/>
            <w:tcBorders>
              <w:top w:val="single" w:color="CCCCCC" w:sz="1"/>
              <w:left w:val="single" w:color="CCCCCC" w:sz="1"/>
              <w:bottom w:val="single" w:color="CCCCCC" w:sz="1"/>
              <w:right w:val="single" w:color="CCCCCC" w:sz="1"/>
            </w:tcBorders>
            <w:shd w:fill="FDECEA" w:val="clear"/>
            <w:tcMar>
              <w:top w:type="dxa" w:w="65"/>
              <w:left w:type="dxa" w:w="100"/>
              <w:bottom w:type="dxa" w:w="65"/>
              <w:right w:type="dxa" w:w="100"/>
            </w:tcMar>
          </w:tcPr>
          <w:p>
            <w:r>
              <w:rPr>
                <w:rFonts w:ascii="Arial" w:cs="Arial" w:eastAsia="Arial" w:hAnsi="Arial"/>
                <w:b w:val="false"/>
                <w:bCs w:val="false"/>
                <w:color w:val="1A1A2E"/>
                <w:sz w:val="19"/>
                <w:szCs w:val="19"/>
              </w:rPr>
              <w:t xml:space="preserve">When clear communication does not take place</w:t>
            </w:r>
          </w:p>
        </w:tc>
      </w:tr>
      <w:tr>
        <w:tc>
          <w:tcPr>
            <w:tcW w:type="dxa" w:w="540"/>
            <w:tcBorders>
              <w:top w:val="single" w:color="CCCCCC" w:sz="1"/>
              <w:left w:val="single" w:color="CCCCCC" w:sz="1"/>
              <w:bottom w:val="single" w:color="CCCCCC" w:sz="1"/>
              <w:right w:val="single" w:color="CCCCCC" w:sz="1"/>
            </w:tcBorders>
            <w:shd w:fill="E8EDF5" w:val="clear"/>
            <w:tcMar>
              <w:top w:type="dxa" w:w="65"/>
              <w:left w:type="dxa" w:w="100"/>
              <w:bottom w:type="dxa" w:w="65"/>
              <w:right w:type="dxa" w:w="100"/>
            </w:tcMar>
          </w:tcPr>
          <w:p>
            <w:r>
              <w:rPr>
                <w:rFonts w:ascii="Arial" w:cs="Arial" w:eastAsia="Arial" w:hAnsi="Arial"/>
                <w:b/>
                <w:bCs/>
                <w:color w:val="1B3A6B"/>
                <w:sz w:val="19"/>
                <w:szCs w:val="19"/>
              </w:rPr>
              <w:t xml:space="preserve">11</w:t>
            </w:r>
          </w:p>
        </w:tc>
        <w:tc>
          <w:tcPr>
            <w:tcW w:type="dxa" w:w="2160"/>
            <w:tcBorders>
              <w:top w:val="single" w:color="CCCCCC" w:sz="1"/>
              <w:left w:val="single" w:color="CCCCCC" w:sz="1"/>
              <w:bottom w:val="single" w:color="CCCCCC" w:sz="1"/>
              <w:right w:val="single" w:color="CCCCCC" w:sz="1"/>
            </w:tcBorders>
            <w:shd w:fill="E6F4F1" w:val="clear"/>
            <w:tcMar>
              <w:top w:type="dxa" w:w="65"/>
              <w:left w:type="dxa" w:w="100"/>
              <w:bottom w:type="dxa" w:w="65"/>
              <w:right w:type="dxa" w:w="100"/>
            </w:tcMar>
          </w:tcPr>
          <w:p>
            <w:r>
              <w:rPr>
                <w:rFonts w:ascii="Arial" w:cs="Arial" w:eastAsia="Arial" w:hAnsi="Arial"/>
                <w:b w:val="false"/>
                <w:bCs w:val="false"/>
                <w:color w:val="1A1A2E"/>
                <w:sz w:val="19"/>
                <w:szCs w:val="19"/>
              </w:rPr>
              <w:t xml:space="preserve">Delegating / Role Modelling</w:t>
            </w:r>
          </w:p>
        </w:tc>
        <w:tc>
          <w:tcPr>
            <w:tcW w:type="dxa" w:w="2880"/>
            <w:tcBorders>
              <w:top w:val="single" w:color="CCCCCC" w:sz="1"/>
              <w:left w:val="single" w:color="CCCCCC" w:sz="1"/>
              <w:bottom w:val="single" w:color="CCCCCC" w:sz="1"/>
              <w:right w:val="single" w:color="CCCCCC" w:sz="1"/>
            </w:tcBorders>
            <w:shd w:fill="EEF2F8" w:val="clear"/>
            <w:tcMar>
              <w:top w:type="dxa" w:w="65"/>
              <w:left w:type="dxa" w:w="100"/>
              <w:bottom w:type="dxa" w:w="65"/>
              <w:right w:type="dxa" w:w="100"/>
            </w:tcMar>
          </w:tcPr>
          <w:p>
            <w:r>
              <w:rPr>
                <w:rFonts w:ascii="Arial" w:cs="Arial" w:eastAsia="Arial" w:hAnsi="Arial"/>
                <w:b w:val="false"/>
                <w:bCs w:val="false"/>
                <w:color w:val="1A1A2E"/>
                <w:sz w:val="19"/>
                <w:szCs w:val="19"/>
              </w:rPr>
              <w:t xml:space="preserve">Autonomy, trust, leading by example</w:t>
            </w:r>
          </w:p>
        </w:tc>
        <w:tc>
          <w:tcPr>
            <w:tcW w:type="dxa" w:w="3780"/>
            <w:tcBorders>
              <w:top w:val="single" w:color="CCCCCC" w:sz="1"/>
              <w:left w:val="single" w:color="CCCCCC" w:sz="1"/>
              <w:bottom w:val="single" w:color="CCCCCC" w:sz="1"/>
              <w:right w:val="single" w:color="CCCCCC" w:sz="1"/>
            </w:tcBorders>
            <w:shd w:fill="FDECEA" w:val="clear"/>
            <w:tcMar>
              <w:top w:type="dxa" w:w="65"/>
              <w:left w:type="dxa" w:w="100"/>
              <w:bottom w:type="dxa" w:w="65"/>
              <w:right w:type="dxa" w:w="100"/>
            </w:tcMar>
          </w:tcPr>
          <w:p>
            <w:r>
              <w:rPr>
                <w:rFonts w:ascii="Arial" w:cs="Arial" w:eastAsia="Arial" w:hAnsi="Arial"/>
                <w:b w:val="false"/>
                <w:bCs w:val="false"/>
                <w:color w:val="1A1A2E"/>
                <w:sz w:val="19"/>
                <w:szCs w:val="19"/>
              </w:rPr>
              <w:t xml:space="preserve">When excessive micromanagement is present</w:t>
            </w:r>
          </w:p>
        </w:tc>
      </w:tr>
      <w:tr>
        <w:tc>
          <w:tcPr>
            <w:tcW w:type="dxa" w:w="540"/>
            <w:tcBorders>
              <w:top w:val="single" w:color="CCCCCC" w:sz="1"/>
              <w:left w:val="single" w:color="CCCCCC" w:sz="1"/>
              <w:bottom w:val="single" w:color="CCCCCC" w:sz="1"/>
              <w:right w:val="single" w:color="CCCCCC" w:sz="1"/>
            </w:tcBorders>
            <w:shd w:fill="E8EDF5" w:val="clear"/>
            <w:tcMar>
              <w:top w:type="dxa" w:w="65"/>
              <w:left w:type="dxa" w:w="100"/>
              <w:bottom w:type="dxa" w:w="65"/>
              <w:right w:type="dxa" w:w="100"/>
            </w:tcMar>
          </w:tcPr>
          <w:p>
            <w:r>
              <w:rPr>
                <w:rFonts w:ascii="Arial" w:cs="Arial" w:eastAsia="Arial" w:hAnsi="Arial"/>
                <w:b/>
                <w:bCs/>
                <w:color w:val="1B3A6B"/>
                <w:sz w:val="19"/>
                <w:szCs w:val="19"/>
              </w:rPr>
              <w:t xml:space="preserve">12</w:t>
            </w:r>
          </w:p>
        </w:tc>
        <w:tc>
          <w:tcPr>
            <w:tcW w:type="dxa" w:w="2160"/>
            <w:tcBorders>
              <w:top w:val="single" w:color="CCCCCC" w:sz="1"/>
              <w:left w:val="single" w:color="CCCCCC" w:sz="1"/>
              <w:bottom w:val="single" w:color="CCCCCC" w:sz="1"/>
              <w:right w:val="single" w:color="CCCCCC" w:sz="1"/>
            </w:tcBorders>
            <w:shd w:fill="E6F4F1" w:val="clear"/>
            <w:tcMar>
              <w:top w:type="dxa" w:w="65"/>
              <w:left w:type="dxa" w:w="100"/>
              <w:bottom w:type="dxa" w:w="65"/>
              <w:right w:type="dxa" w:w="100"/>
            </w:tcMar>
          </w:tcPr>
          <w:p>
            <w:r>
              <w:rPr>
                <w:rFonts w:ascii="Arial" w:cs="Arial" w:eastAsia="Arial" w:hAnsi="Arial"/>
                <w:b w:val="false"/>
                <w:bCs w:val="false"/>
                <w:color w:val="1A1A2E"/>
                <w:sz w:val="19"/>
                <w:szCs w:val="19"/>
              </w:rPr>
              <w:t xml:space="preserve">Developing People / Potential</w:t>
            </w:r>
          </w:p>
        </w:tc>
        <w:tc>
          <w:tcPr>
            <w:tcW w:type="dxa" w:w="2880"/>
            <w:tcBorders>
              <w:top w:val="single" w:color="CCCCCC" w:sz="1"/>
              <w:left w:val="single" w:color="CCCCCC" w:sz="1"/>
              <w:bottom w:val="single" w:color="CCCCCC" w:sz="1"/>
              <w:right w:val="single" w:color="CCCCCC" w:sz="1"/>
            </w:tcBorders>
            <w:shd w:fill="EEF2F8" w:val="clear"/>
            <w:tcMar>
              <w:top w:type="dxa" w:w="65"/>
              <w:left w:type="dxa" w:w="100"/>
              <w:bottom w:type="dxa" w:w="65"/>
              <w:right w:type="dxa" w:w="100"/>
            </w:tcMar>
          </w:tcPr>
          <w:p>
            <w:r>
              <w:rPr>
                <w:rFonts w:ascii="Arial" w:cs="Arial" w:eastAsia="Arial" w:hAnsi="Arial"/>
                <w:b w:val="false"/>
                <w:bCs w:val="false"/>
                <w:color w:val="1A1A2E"/>
                <w:sz w:val="19"/>
                <w:szCs w:val="19"/>
              </w:rPr>
              <w:t xml:space="preserve">Creative input, potential recognition, growth</w:t>
            </w:r>
          </w:p>
        </w:tc>
        <w:tc>
          <w:tcPr>
            <w:tcW w:type="dxa" w:w="3780"/>
            <w:tcBorders>
              <w:top w:val="single" w:color="CCCCCC" w:sz="1"/>
              <w:left w:val="single" w:color="CCCCCC" w:sz="1"/>
              <w:bottom w:val="single" w:color="CCCCCC" w:sz="1"/>
              <w:right w:val="single" w:color="CCCCCC" w:sz="1"/>
            </w:tcBorders>
            <w:shd w:fill="FDECEA" w:val="clear"/>
            <w:tcMar>
              <w:top w:type="dxa" w:w="65"/>
              <w:left w:type="dxa" w:w="100"/>
              <w:bottom w:type="dxa" w:w="65"/>
              <w:right w:type="dxa" w:w="100"/>
            </w:tcMar>
          </w:tcPr>
          <w:p>
            <w:r>
              <w:rPr>
                <w:rFonts w:ascii="Arial" w:cs="Arial" w:eastAsia="Arial" w:hAnsi="Arial"/>
                <w:b w:val="false"/>
                <w:bCs w:val="false"/>
                <w:color w:val="1A1A2E"/>
                <w:sz w:val="19"/>
                <w:szCs w:val="19"/>
              </w:rPr>
              <w:t xml:space="preserve">When potential and growth go unrealised</w:t>
            </w:r>
          </w:p>
        </w:tc>
      </w:tr>
      <w:tr>
        <w:tc>
          <w:tcPr>
            <w:tcW w:type="dxa" w:w="540"/>
            <w:tcBorders>
              <w:top w:val="single" w:color="CCCCCC" w:sz="1"/>
              <w:left w:val="single" w:color="CCCCCC" w:sz="1"/>
              <w:bottom w:val="single" w:color="CCCCCC" w:sz="1"/>
              <w:right w:val="single" w:color="CCCCCC" w:sz="1"/>
            </w:tcBorders>
            <w:shd w:fill="E8EDF5" w:val="clear"/>
            <w:tcMar>
              <w:top w:type="dxa" w:w="65"/>
              <w:left w:type="dxa" w:w="100"/>
              <w:bottom w:type="dxa" w:w="65"/>
              <w:right w:type="dxa" w:w="100"/>
            </w:tcMar>
          </w:tcPr>
          <w:p>
            <w:r>
              <w:rPr>
                <w:rFonts w:ascii="Arial" w:cs="Arial" w:eastAsia="Arial" w:hAnsi="Arial"/>
                <w:b/>
                <w:bCs/>
                <w:color w:val="1B3A6B"/>
                <w:sz w:val="19"/>
                <w:szCs w:val="19"/>
              </w:rPr>
              <w:t xml:space="preserve">13</w:t>
            </w:r>
          </w:p>
        </w:tc>
        <w:tc>
          <w:tcPr>
            <w:tcW w:type="dxa" w:w="2160"/>
            <w:tcBorders>
              <w:top w:val="single" w:color="CCCCCC" w:sz="1"/>
              <w:left w:val="single" w:color="CCCCCC" w:sz="1"/>
              <w:bottom w:val="single" w:color="CCCCCC" w:sz="1"/>
              <w:right w:val="single" w:color="CCCCCC" w:sz="1"/>
            </w:tcBorders>
            <w:shd w:fill="E6F4F1" w:val="clear"/>
            <w:tcMar>
              <w:top w:type="dxa" w:w="65"/>
              <w:left w:type="dxa" w:w="100"/>
              <w:bottom w:type="dxa" w:w="65"/>
              <w:right w:type="dxa" w:w="100"/>
            </w:tcMar>
          </w:tcPr>
          <w:p>
            <w:r>
              <w:rPr>
                <w:rFonts w:ascii="Arial" w:cs="Arial" w:eastAsia="Arial" w:hAnsi="Arial"/>
                <w:b w:val="false"/>
                <w:bCs w:val="false"/>
                <w:color w:val="1A1A2E"/>
                <w:sz w:val="19"/>
                <w:szCs w:val="19"/>
              </w:rPr>
              <w:t xml:space="preserve">Balanced / Integrative</w:t>
            </w:r>
          </w:p>
        </w:tc>
        <w:tc>
          <w:tcPr>
            <w:tcW w:type="dxa" w:w="2880"/>
            <w:tcBorders>
              <w:top w:val="single" w:color="CCCCCC" w:sz="1"/>
              <w:left w:val="single" w:color="CCCCCC" w:sz="1"/>
              <w:bottom w:val="single" w:color="CCCCCC" w:sz="1"/>
              <w:right w:val="single" w:color="CCCCCC" w:sz="1"/>
            </w:tcBorders>
            <w:shd w:fill="EEF2F8" w:val="clear"/>
            <w:tcMar>
              <w:top w:type="dxa" w:w="65"/>
              <w:left w:type="dxa" w:w="100"/>
              <w:bottom w:type="dxa" w:w="65"/>
              <w:right w:type="dxa" w:w="100"/>
            </w:tcMar>
          </w:tcPr>
          <w:p>
            <w:r>
              <w:rPr>
                <w:rFonts w:ascii="Arial" w:cs="Arial" w:eastAsia="Arial" w:hAnsi="Arial"/>
                <w:b w:val="false"/>
                <w:bCs w:val="false"/>
                <w:color w:val="1A1A2E"/>
                <w:sz w:val="19"/>
                <w:szCs w:val="19"/>
              </w:rPr>
              <w:t xml:space="preserve">Holistic view, full integration, cooperation</w:t>
            </w:r>
          </w:p>
        </w:tc>
        <w:tc>
          <w:tcPr>
            <w:tcW w:type="dxa" w:w="3780"/>
            <w:tcBorders>
              <w:top w:val="single" w:color="CCCCCC" w:sz="1"/>
              <w:left w:val="single" w:color="CCCCCC" w:sz="1"/>
              <w:bottom w:val="single" w:color="CCCCCC" w:sz="1"/>
              <w:right w:val="single" w:color="CCCCCC" w:sz="1"/>
            </w:tcBorders>
            <w:shd w:fill="FDECEA" w:val="clear"/>
            <w:tcMar>
              <w:top w:type="dxa" w:w="65"/>
              <w:left w:type="dxa" w:w="100"/>
              <w:bottom w:type="dxa" w:w="65"/>
              <w:right w:type="dxa" w:w="100"/>
            </w:tcMar>
          </w:tcPr>
          <w:p>
            <w:r>
              <w:rPr>
                <w:rFonts w:ascii="Arial" w:cs="Arial" w:eastAsia="Arial" w:hAnsi="Arial"/>
                <w:b w:val="false"/>
                <w:bCs w:val="false"/>
                <w:color w:val="1A1A2E"/>
                <w:sz w:val="19"/>
                <w:szCs w:val="19"/>
              </w:rPr>
              <w:t xml:space="preserve">When full integration is prevented by others’ own interests</w:t>
            </w:r>
          </w:p>
        </w:tc>
      </w:tr>
    </w:tbl>
    <w:p>
      <w:pPr>
        <w:spacing w:after="0" w:before="70"/>
      </w:pPr>
    </w:p>
    <w:p>
      <w:pPr>
        <w:pStyle w:val="Heading2"/>
        <w:keepNext/>
        <w:spacing w:after="90" w:before="240"/>
      </w:pPr>
      <w:r>
        <w:rPr>
          <w:rFonts w:ascii="Arial" w:cs="Arial" w:eastAsia="Arial" w:hAnsi="Arial"/>
          <w:b/>
          <w:bCs/>
          <w:color w:val="0D7A6B"/>
          <w:sz w:val="26"/>
          <w:szCs w:val="26"/>
        </w:rPr>
        <w:t xml:space="preserve">The Compatibility Index: From Type Awareness to Organisational Design</w:t>
      </w:r>
    </w:p>
    <w:p>
      <w:pPr>
        <w:spacing w:after="65" w:before="65"/>
      </w:pPr>
      <w:r>
        <w:rPr>
          <w:rFonts w:ascii="Arial" w:cs="Arial" w:eastAsia="Arial" w:hAnsi="Arial"/>
          <w:b w:val="false"/>
          <w:bCs w:val="false"/>
          <w:i w:val="false"/>
          <w:iCs w:val="false"/>
          <w:color w:val="1A1A2E"/>
          <w:sz w:val="22"/>
          <w:szCs w:val="22"/>
        </w:rPr>
        <w:t xml:space="preserve">The Judgement Type framework becomes commercially transformative when combined with the Compatibility Index™. This report maps the mathematical compatibility between any two or more people’s JI profiles across all 30 dimensions - producing a precise compatibility score and identifying the specific dimensions where friction is most likely under pressure.</w:t>
      </w:r>
    </w:p>
    <w:p>
      <w:pPr>
        <w:spacing w:after="0" w:before="55"/>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6F4F1" w:val="clear"/>
            <w:tcMar>
              <w:top w:type="dxa" w:w="140"/>
              <w:left w:type="dxa" w:w="180"/>
              <w:bottom w:type="dxa" w:w="140"/>
              <w:right w:type="dxa" w:w="180"/>
            </w:tcMar>
          </w:tcPr>
          <w:p>
            <w:pPr>
              <w:spacing w:after="80" w:before="0"/>
            </w:pPr>
            <w:r>
              <w:rPr>
                <w:rFonts w:ascii="Arial" w:cs="Arial" w:eastAsia="Arial" w:hAnsi="Arial"/>
                <w:b/>
                <w:bCs/>
                <w:color w:val="0D7A6B"/>
                <w:sz w:val="22"/>
                <w:szCs w:val="22"/>
              </w:rPr>
              <w:t xml:space="preserve">Three immediate applications of the Compatibility Index</w:t>
            </w:r>
          </w:p>
          <w:p>
            <w:pPr>
              <w:pStyle w:val="ListParagraph"/>
              <w:keepLines/>
              <w:numPr>
                <w:ilvl w:val="0"/>
                <w:numId w:val="2"/>
              </w:numPr>
              <w:spacing w:after="44" w:before="44"/>
            </w:pPr>
            <w:r>
              <w:rPr>
                <w:rFonts w:ascii="Arial" w:cs="Arial" w:eastAsia="Arial" w:hAnsi="Arial"/>
                <w:color w:val="1A1A2E"/>
                <w:sz w:val="21"/>
                <w:szCs w:val="21"/>
              </w:rPr>
              <w:t xml:space="preserve">Leadership team design: before forming or reforming an executive team, map the type composition to identify the collective blind spots and the collision-risk pairings that will create structural friction</w:t>
            </w:r>
          </w:p>
          <w:p>
            <w:pPr>
              <w:pStyle w:val="ListParagraph"/>
              <w:keepLines/>
              <w:numPr>
                <w:ilvl w:val="0"/>
                <w:numId w:val="2"/>
              </w:numPr>
              <w:spacing w:after="44" w:before="44"/>
            </w:pPr>
            <w:r>
              <w:rPr>
                <w:rFonts w:ascii="Arial" w:cs="Arial" w:eastAsia="Arial" w:hAnsi="Arial"/>
                <w:color w:val="1A1A2E"/>
                <w:sz w:val="21"/>
                <w:szCs w:val="21"/>
              </w:rPr>
              <w:t xml:space="preserve">Board composition review: identify which Judgement Types are overrepresented on the current board, which are absent, and what those gaps mean for collective decision quality - then define the type profile for the next appointment</w:t>
            </w:r>
          </w:p>
          <w:p>
            <w:pPr>
              <w:pStyle w:val="ListParagraph"/>
              <w:keepLines/>
              <w:numPr>
                <w:ilvl w:val="0"/>
                <w:numId w:val="2"/>
              </w:numPr>
              <w:spacing w:after="44" w:before="44"/>
            </w:pPr>
            <w:r>
              <w:rPr>
                <w:rFonts w:ascii="Arial" w:cs="Arial" w:eastAsia="Arial" w:hAnsi="Arial"/>
                <w:color w:val="1A1A2E"/>
                <w:sz w:val="21"/>
                <w:szCs w:val="21"/>
              </w:rPr>
              <w:t xml:space="preserve">Conflict resolution: when two leaders are in persistent conflict, map their type profiles and frustration points. In most cases, the conflict has a precise, nameable source that neither party has ever been shown. Naming it with data changes the conversation from personality to structure.</w:t>
            </w:r>
          </w:p>
        </w:tc>
      </w:tr>
    </w:tbl>
    <w:p>
      <w:pPr>
        <w:spacing w:after="0" w:before="7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EF2F8" w:val="clear"/>
            <w:tcMar>
              <w:top w:type="dxa" w:w="140"/>
              <w:left w:type="dxa" w:w="180"/>
              <w:bottom w:type="dxa" w:w="140"/>
              <w:right w:type="dxa" w:w="180"/>
            </w:tcMar>
          </w:tcPr>
          <w:p>
            <w:pPr>
              <w:spacing w:after="80" w:before="0"/>
            </w:pPr>
            <w:r>
              <w:rPr>
                <w:rFonts w:ascii="Arial" w:cs="Arial" w:eastAsia="Arial" w:hAnsi="Arial"/>
                <w:b/>
                <w:bCs/>
                <w:color w:val="28374F"/>
                <w:sz w:val="22"/>
                <w:szCs w:val="22"/>
              </w:rPr>
              <w:t xml:space="preserve">Key References — White Paper 8</w:t>
            </w:r>
          </w:p>
          <w:p>
            <w:pPr>
              <w:pStyle w:val="ListParagraph"/>
              <w:keepLines/>
              <w:numPr>
                <w:ilvl w:val="0"/>
                <w:numId w:val="2"/>
              </w:numPr>
              <w:spacing w:after="44" w:before="44"/>
            </w:pPr>
            <w:r>
              <w:rPr>
                <w:rFonts w:ascii="Arial" w:cs="Arial" w:eastAsia="Arial" w:hAnsi="Arial"/>
                <w:color w:val="1A1A2E"/>
                <w:sz w:val="21"/>
                <w:szCs w:val="21"/>
              </w:rPr>
              <w:t xml:space="preserve">Lencioni, P. (2002). The Five Dysfunctions of a Team. Jossey-Bass.</w:t>
            </w:r>
          </w:p>
          <w:p>
            <w:pPr>
              <w:pStyle w:val="ListParagraph"/>
              <w:keepLines/>
              <w:numPr>
                <w:ilvl w:val="0"/>
                <w:numId w:val="2"/>
              </w:numPr>
              <w:spacing w:after="44" w:before="44"/>
            </w:pPr>
            <w:r>
              <w:rPr>
                <w:rFonts w:ascii="Arial" w:cs="Arial" w:eastAsia="Arial" w:hAnsi="Arial"/>
                <w:color w:val="1A1A2E"/>
                <w:sz w:val="21"/>
                <w:szCs w:val="21"/>
              </w:rPr>
              <w:t xml:space="preserve">Edmondson, A.C. (1999). Psychological Safety and Learning Behavior in Work Teams. Administrative Science Quarterly.</w:t>
            </w:r>
          </w:p>
          <w:p>
            <w:pPr>
              <w:pStyle w:val="ListParagraph"/>
              <w:keepLines/>
              <w:numPr>
                <w:ilvl w:val="0"/>
                <w:numId w:val="2"/>
              </w:numPr>
              <w:spacing w:after="44" w:before="44"/>
            </w:pPr>
            <w:r>
              <w:rPr>
                <w:rFonts w:ascii="Arial" w:cs="Arial" w:eastAsia="Arial" w:hAnsi="Arial"/>
                <w:color w:val="1A1A2E"/>
                <w:sz w:val="21"/>
                <w:szCs w:val="21"/>
              </w:rPr>
              <w:t xml:space="preserve">Hartman, R.S. (1967). The Structure of Value. Southern Illinois University Press.</w:t>
            </w:r>
          </w:p>
          <w:p>
            <w:pPr>
              <w:pStyle w:val="ListParagraph"/>
              <w:keepLines/>
              <w:numPr>
                <w:ilvl w:val="0"/>
                <w:numId w:val="2"/>
              </w:numPr>
              <w:spacing w:after="44" w:before="44"/>
            </w:pPr>
            <w:r>
              <w:rPr>
                <w:rFonts w:ascii="Arial" w:cs="Arial" w:eastAsia="Arial" w:hAnsi="Arial"/>
                <w:color w:val="1A1A2E"/>
                <w:sz w:val="21"/>
                <w:szCs w:val="21"/>
              </w:rPr>
              <w:t xml:space="preserve">Value Resource Group: Validity Studies of the Hartman Value Profile. axiologic.org</w:t>
            </w:r>
          </w:p>
          <w:p>
            <w:pPr>
              <w:pStyle w:val="ListParagraph"/>
              <w:keepLines/>
              <w:numPr>
                <w:ilvl w:val="0"/>
                <w:numId w:val="2"/>
              </w:numPr>
              <w:spacing w:after="44" w:before="44"/>
            </w:pPr>
            <w:r>
              <w:rPr>
                <w:rFonts w:ascii="Arial" w:cs="Arial" w:eastAsia="Arial" w:hAnsi="Arial"/>
                <w:color w:val="1A1A2E"/>
                <w:sz w:val="21"/>
                <w:szCs w:val="21"/>
              </w:rPr>
              <w:t xml:space="preserve">CIPD / CEBMa (2024). Psychological Safety: An Evidence Review. cipd.org</w:t>
            </w:r>
          </w:p>
          <w:p>
            <w:pPr>
              <w:pStyle w:val="ListParagraph"/>
              <w:keepLines/>
              <w:numPr>
                <w:ilvl w:val="0"/>
                <w:numId w:val="2"/>
              </w:numPr>
              <w:spacing w:after="44" w:before="44"/>
            </w:pPr>
            <w:r>
              <w:rPr>
                <w:rFonts w:ascii="Arial" w:cs="Arial" w:eastAsia="Arial" w:hAnsi="Arial"/>
                <w:color w:val="1A1A2E"/>
                <w:sz w:val="21"/>
                <w:szCs w:val="21"/>
              </w:rPr>
              <w:t xml:space="preserve">Robert S. Hartman Institute: Journal of Formal Axiology (2024). hartmaninstitute.org</w:t>
            </w:r>
          </w:p>
        </w:tc>
      </w:tr>
    </w:tbl>
    <w:p>
      <w:pPr>
        <w:spacing w:after="0" w:before="55"/>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D7A6B" w:sz="1"/>
              <w:left w:val="single" w:color="0D7A6B" w:sz="1"/>
              <w:bottom w:val="single" w:color="0D7A6B" w:sz="1"/>
              <w:right w:val="single" w:color="0D7A6B" w:sz="1"/>
            </w:tcBorders>
            <w:shd w:fill="E6F4F1" w:val="clear"/>
            <w:tcMar>
              <w:top w:type="dxa" w:w="160"/>
              <w:left w:type="dxa" w:w="200"/>
              <w:bottom w:type="dxa" w:w="160"/>
              <w:right w:type="dxa" w:w="200"/>
            </w:tcMar>
          </w:tcPr>
          <w:p>
            <w:pPr>
              <w:spacing w:after="60" w:before="0"/>
            </w:pPr>
            <w:r>
              <w:rPr>
                <w:rFonts w:ascii="Arial" w:cs="Arial" w:eastAsia="Arial" w:hAnsi="Arial"/>
                <w:b/>
                <w:bCs/>
                <w:color w:val="0D7A6B"/>
                <w:sz w:val="22"/>
                <w:szCs w:val="22"/>
              </w:rPr>
              <w:t xml:space="preserve">What to do next</w:t>
            </w:r>
          </w:p>
          <w:p>
            <w:pPr>
              <w:spacing w:after="50" w:before="0"/>
            </w:pPr>
            <w:r>
              <w:rPr>
                <w:rFonts w:ascii="Arial" w:cs="Arial" w:eastAsia="Arial" w:hAnsi="Arial"/>
                <w:color w:val="1A1A2E"/>
                <w:sz w:val="22"/>
                <w:szCs w:val="22"/>
              </w:rPr>
              <w:t xml:space="preserve">A Compatibility Index assessment for your leadership team or board can be completed within one week of your Discovery Conversation. The results often resolve conflicts that have persisted for years - in a single facilitated session.</w:t>
            </w:r>
          </w:p>
          <w:p>
            <w:pPr>
              <w:spacing w:after="50" w:before="0"/>
            </w:pPr>
            <w:r>
              <w:rPr>
                <w:rFonts w:ascii="Arial" w:cs="Arial" w:eastAsia="Arial" w:hAnsi="Arial"/>
                <w:b/>
                <w:bCs/>
                <w:color w:val="0D7A6B"/>
                <w:sz w:val="22"/>
                <w:szCs w:val="22"/>
              </w:rPr>
              <w:t xml:space="preserve">Book a Team Compatibility Discovery Conversation: jiau.com.au/book</w:t>
            </w:r>
          </w:p>
          <w:p>
            <w:pPr>
              <w:spacing w:after="0" w:before="0"/>
            </w:pPr>
            <w:r>
              <w:rPr>
                <w:rFonts w:ascii="Arial" w:cs="Arial" w:eastAsia="Arial" w:hAnsi="Arial"/>
                <w:i/>
                <w:iCs/>
                <w:color w:val="4A5568"/>
                <w:sz w:val="20"/>
                <w:szCs w:val="20"/>
              </w:rPr>
              <w:t xml:space="preserve">Book at: jiau.com.au  ·  Or call: 1300 677 572  ·  Or email: info@jiau.com.au</w:t>
            </w:r>
          </w:p>
        </w:tc>
      </w:tr>
    </w:tbl>
    <w:p>
      <w:r>
        <w:br w:type="page"/>
      </w:r>
    </w:p>
    <w:p>
      <w:pPr>
        <w:pStyle w:val="Heading1"/>
        <w:pageBreakBefore/>
        <w:spacing w:after="110" w:before="0"/>
      </w:pPr>
      <w:r>
        <w:rPr>
          <w:rFonts w:ascii="Arial" w:cs="Arial" w:eastAsia="Arial" w:hAnsi="Arial"/>
          <w:b/>
          <w:bCs/>
          <w:color w:val="1B3A6B"/>
          <w:sz w:val="34"/>
          <w:szCs w:val="34"/>
        </w:rPr>
        <w:t xml:space="preserve">White Paper 9: Validation Study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thick" w:color="28374F" w:sz="12"/>
              <w:left w:val="thick" w:color="28374F" w:sz="12"/>
              <w:bottom w:val="thick" w:color="28374F" w:sz="12"/>
              <w:right w:val="thick" w:color="28374F" w:sz="12"/>
            </w:tcBorders>
            <w:shd w:fill="EDF0F4" w:val="clear"/>
            <w:tcMar>
              <w:top w:type="dxa" w:w="200"/>
              <w:left w:type="dxa" w:w="240"/>
              <w:bottom w:type="dxa" w:w="200"/>
              <w:right w:type="dxa" w:w="240"/>
            </w:tcMar>
          </w:tcPr>
          <w:p>
            <w:pPr>
              <w:spacing w:after="14" w:before="0"/>
            </w:pPr>
            <w:r>
              <w:rPr>
                <w:rFonts w:ascii="Arial" w:cs="Arial" w:eastAsia="Arial" w:hAnsi="Arial"/>
                <w:b/>
                <w:bCs/>
                <w:color w:val="28374F"/>
                <w:sz w:val="18"/>
                <w:szCs w:val="18"/>
              </w:rPr>
              <w:t xml:space="preserve">WHITE PAPER 9 OF 10</w:t>
            </w:r>
          </w:p>
          <w:p>
            <w:pPr>
              <w:spacing w:after="24" w:before="0"/>
            </w:pPr>
            <w:r>
              <w:rPr>
                <w:rFonts w:ascii="Arial" w:cs="Arial" w:eastAsia="Arial" w:hAnsi="Arial"/>
                <w:b/>
                <w:bCs/>
                <w:color w:val="1B3A6B"/>
                <w:sz w:val="32"/>
                <w:szCs w:val="32"/>
              </w:rPr>
              <w:t xml:space="preserve">The Scientific Evidence Behind the Judgment Index</w:t>
            </w:r>
          </w:p>
          <w:p>
            <w:pPr>
              <w:spacing w:after="40" w:before="0"/>
            </w:pPr>
            <w:r>
              <w:rPr>
                <w:rFonts w:ascii="Arial" w:cs="Arial" w:eastAsia="Arial" w:hAnsi="Arial"/>
                <w:i/>
                <w:iCs/>
                <w:color w:val="4A5568"/>
                <w:sz w:val="22"/>
                <w:szCs w:val="22"/>
              </w:rPr>
              <w:t xml:space="preserve">A Plain-Language Review of the Validation Research Supporting the JI Assessment for Australian Practitioners</w:t>
            </w:r>
          </w:p>
          <w:p>
            <w:pPr>
              <w:pBdr>
                <w:bottom w:val="single" w:color="28374F" w:sz="6" w:space="1"/>
              </w:pBdr>
              <w:spacing w:after="160" w:before="160"/>
            </w:pPr>
          </w:p>
          <w:p>
            <w:pPr>
              <w:spacing w:after="14" w:before="40"/>
            </w:pPr>
            <w:r>
              <w:rPr>
                <w:rFonts w:ascii="Arial" w:cs="Arial" w:eastAsia="Arial" w:hAnsi="Arial"/>
                <w:b/>
                <w:bCs/>
                <w:color w:val="28374F"/>
                <w:sz w:val="20"/>
                <w:szCs w:val="20"/>
              </w:rPr>
              <w:t xml:space="preserve">Primary audience: </w:t>
            </w:r>
            <w:r>
              <w:rPr>
                <w:rFonts w:ascii="Arial" w:cs="Arial" w:eastAsia="Arial" w:hAnsi="Arial"/>
                <w:color w:val="1A1A2E"/>
                <w:sz w:val="20"/>
                <w:szCs w:val="20"/>
              </w:rPr>
              <w:t xml:space="preserve">Evidence-seeking CHROs, Legal and Risk professionals, WHS Managers, Academic HR, Procurement</w:t>
            </w:r>
          </w:p>
          <w:p>
            <w:pPr>
              <w:spacing w:after="14" w:before="0"/>
            </w:pPr>
            <w:r>
              <w:rPr>
                <w:rFonts w:ascii="Arial" w:cs="Arial" w:eastAsia="Arial" w:hAnsi="Arial"/>
                <w:b/>
                <w:bCs/>
                <w:color w:val="28374F"/>
                <w:sz w:val="20"/>
                <w:szCs w:val="20"/>
              </w:rPr>
              <w:t xml:space="preserve">Recommended gate: </w:t>
            </w:r>
            <w:r>
              <w:rPr>
                <w:rFonts w:ascii="Arial" w:cs="Arial" w:eastAsia="Arial" w:hAnsi="Arial"/>
                <w:color w:val="1A1A2E"/>
                <w:sz w:val="20"/>
                <w:szCs w:val="20"/>
              </w:rPr>
              <w:t xml:space="preserve">Work email address  ·  First name  ·  Organisation</w:t>
            </w:r>
          </w:p>
          <w:p>
            <w:pPr>
              <w:spacing w:after="14" w:before="0"/>
            </w:pPr>
            <w:r>
              <w:rPr>
                <w:rFonts w:ascii="Arial" w:cs="Arial" w:eastAsia="Arial" w:hAnsi="Arial"/>
                <w:b/>
                <w:bCs/>
                <w:color w:val="28374F"/>
                <w:sz w:val="20"/>
                <w:szCs w:val="20"/>
              </w:rPr>
              <w:t xml:space="preserve">Approximate length: </w:t>
            </w:r>
            <w:r>
              <w:rPr>
                <w:rFonts w:ascii="Arial" w:cs="Arial" w:eastAsia="Arial" w:hAnsi="Arial"/>
                <w:color w:val="1A1A2E"/>
                <w:sz w:val="20"/>
                <w:szCs w:val="20"/>
              </w:rPr>
              <w:t xml:space="preserve">1,500 words · 8 minute read</w:t>
            </w:r>
          </w:p>
          <w:p>
            <w:pPr>
              <w:spacing w:after="0" w:before="0"/>
            </w:pPr>
            <w:r>
              <w:rPr>
                <w:rFonts w:ascii="Arial" w:cs="Arial" w:eastAsia="Arial" w:hAnsi="Arial"/>
                <w:b/>
                <w:bCs/>
                <w:color w:val="28374F"/>
                <w:sz w:val="20"/>
                <w:szCs w:val="20"/>
              </w:rPr>
              <w:t xml:space="preserve">Publisher: </w:t>
            </w:r>
            <w:r>
              <w:rPr>
                <w:rFonts w:ascii="Arial" w:cs="Arial" w:eastAsia="Arial" w:hAnsi="Arial"/>
                <w:color w:val="1A1A2E"/>
                <w:sz w:val="20"/>
                <w:szCs w:val="20"/>
              </w:rPr>
              <w:t xml:space="preserve">Judgment Index Australia (JIAU)  ·  jiau.com.au  ·  © 2026</w:t>
            </w:r>
          </w:p>
        </w:tc>
      </w:tr>
    </w:tbl>
    <w:p>
      <w:pPr>
        <w:spacing w:after="0" w:before="70"/>
      </w:pPr>
    </w:p>
    <w:p>
      <w:pPr>
        <w:pStyle w:val="Heading2"/>
        <w:keepNext/>
        <w:spacing w:after="90" w:before="240"/>
      </w:pPr>
      <w:r>
        <w:rPr>
          <w:rFonts w:ascii="Arial" w:cs="Arial" w:eastAsia="Arial" w:hAnsi="Arial"/>
          <w:b/>
          <w:bCs/>
          <w:color w:val="28374F"/>
          <w:sz w:val="26"/>
          <w:szCs w:val="26"/>
        </w:rPr>
        <w:t xml:space="preserve">Why Validation Evidence Matters for Australian Practitioners</w:t>
      </w:r>
    </w:p>
    <w:p>
      <w:pPr>
        <w:spacing w:after="65" w:before="65"/>
      </w:pPr>
      <w:r>
        <w:rPr>
          <w:rFonts w:ascii="Arial" w:cs="Arial" w:eastAsia="Arial" w:hAnsi="Arial"/>
          <w:b w:val="false"/>
          <w:bCs w:val="false"/>
          <w:i w:val="false"/>
          <w:iCs w:val="false"/>
          <w:color w:val="1A1A2E"/>
          <w:sz w:val="22"/>
          <w:szCs w:val="22"/>
        </w:rPr>
        <w:t xml:space="preserve">In a market saturated with assessment tools, the question of scientific validity is commercially and legally important. Australian organisations making employment decisions, WHS compliance arguments or governance representations on the basis of assessment data are exposed to legal challenge if that data is not validated. The JI’s validation evidence is extensive, peer-reviewed and spans six decades of applied research across multiple countries and sectors.</w:t>
      </w:r>
    </w:p>
    <w:p>
      <w:pPr>
        <w:spacing w:after="0" w:before="70"/>
      </w:pPr>
    </w:p>
    <w:p>
      <w:pPr>
        <w:pStyle w:val="Heading2"/>
        <w:keepNext/>
        <w:spacing w:after="90" w:before="240"/>
      </w:pPr>
      <w:r>
        <w:rPr>
          <w:rFonts w:ascii="Arial" w:cs="Arial" w:eastAsia="Arial" w:hAnsi="Arial"/>
          <w:b/>
          <w:bCs/>
          <w:color w:val="1B3A6B"/>
          <w:sz w:val="26"/>
          <w:szCs w:val="26"/>
        </w:rPr>
        <w:t xml:space="preserve">The Scientific Foundation: Hartman Axiology</w:t>
      </w:r>
    </w:p>
    <w:p>
      <w:pPr>
        <w:spacing w:after="65" w:before="65"/>
      </w:pPr>
      <w:r>
        <w:rPr>
          <w:rFonts w:ascii="Arial" w:cs="Arial" w:eastAsia="Arial" w:hAnsi="Arial"/>
          <w:b w:val="false"/>
          <w:bCs w:val="false"/>
          <w:i w:val="false"/>
          <w:iCs w:val="false"/>
          <w:color w:val="1A1A2E"/>
          <w:sz w:val="22"/>
          <w:szCs w:val="22"/>
        </w:rPr>
        <w:t xml:space="preserve">The Judgment Index is built on formal axiology - the mathematical science of value developed by Dr. Robert S. Hartman. Hartman’s foundational work, The Structure of Value (1967), established the mathematical principles underlying the measurement of good judgement. This work has been peer-reviewed, replicated and applied clinically for over 60 years.</w:t>
      </w:r>
    </w:p>
    <w:p>
      <w:pPr>
        <w:spacing w:after="0" w:before="55"/>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4320"/>
        <w:gridCol w:w="2160"/>
      </w:tblGrid>
      <w:tr>
        <w:tc>
          <w:tcPr>
            <w:tcW w:type="dxa" w:w="2880"/>
            <w:tcBorders>
              <w:top w:val="single" w:color="CCCCCC" w:sz="1"/>
              <w:left w:val="single" w:color="CCCCCC" w:sz="1"/>
              <w:bottom w:val="single" w:color="CCCCCC" w:sz="1"/>
              <w:right w:val="single" w:color="CCCCCC" w:sz="1"/>
            </w:tcBorders>
            <w:shd w:fill="1B3A6B" w:val="clear"/>
            <w:tcMar>
              <w:top w:type="dxa" w:w="85"/>
              <w:left w:type="dxa" w:w="100"/>
              <w:bottom w:type="dxa" w:w="85"/>
              <w:right w:type="dxa" w:w="100"/>
            </w:tcMar>
          </w:tcPr>
          <w:p>
            <w:r>
              <w:rPr>
                <w:rFonts w:ascii="Arial" w:cs="Arial" w:eastAsia="Arial" w:hAnsi="Arial"/>
                <w:b/>
                <w:bCs/>
                <w:color w:val="FFFFFF"/>
                <w:sz w:val="19"/>
                <w:szCs w:val="19"/>
              </w:rPr>
              <w:t xml:space="preserve">Validation Dimension</w:t>
            </w:r>
          </w:p>
        </w:tc>
        <w:tc>
          <w:tcPr>
            <w:tcW w:type="dxa" w:w="4320"/>
            <w:tcBorders>
              <w:top w:val="single" w:color="CCCCCC" w:sz="1"/>
              <w:left w:val="single" w:color="CCCCCC" w:sz="1"/>
              <w:bottom w:val="single" w:color="CCCCCC" w:sz="1"/>
              <w:right w:val="single" w:color="CCCCCC" w:sz="1"/>
            </w:tcBorders>
            <w:shd w:fill="1B3A6B" w:val="clear"/>
            <w:tcMar>
              <w:top w:type="dxa" w:w="85"/>
              <w:left w:type="dxa" w:w="100"/>
              <w:bottom w:type="dxa" w:w="85"/>
              <w:right w:type="dxa" w:w="100"/>
            </w:tcMar>
          </w:tcPr>
          <w:p>
            <w:r>
              <w:rPr>
                <w:rFonts w:ascii="Arial" w:cs="Arial" w:eastAsia="Arial" w:hAnsi="Arial"/>
                <w:b/>
                <w:bCs/>
                <w:color w:val="FFFFFF"/>
                <w:sz w:val="19"/>
                <w:szCs w:val="19"/>
              </w:rPr>
              <w:t xml:space="preserve">Evidence</w:t>
            </w:r>
          </w:p>
        </w:tc>
        <w:tc>
          <w:tcPr>
            <w:tcW w:type="dxa" w:w="2160"/>
            <w:tcBorders>
              <w:top w:val="single" w:color="CCCCCC" w:sz="1"/>
              <w:left w:val="single" w:color="CCCCCC" w:sz="1"/>
              <w:bottom w:val="single" w:color="CCCCCC" w:sz="1"/>
              <w:right w:val="single" w:color="CCCCCC" w:sz="1"/>
            </w:tcBorders>
            <w:shd w:fill="1B3A6B" w:val="clear"/>
            <w:tcMar>
              <w:top w:type="dxa" w:w="85"/>
              <w:left w:type="dxa" w:w="100"/>
              <w:bottom w:type="dxa" w:w="85"/>
              <w:right w:type="dxa" w:w="100"/>
            </w:tcMar>
          </w:tcPr>
          <w:p>
            <w:r>
              <w:rPr>
                <w:rFonts w:ascii="Arial" w:cs="Arial" w:eastAsia="Arial" w:hAnsi="Arial"/>
                <w:b/>
                <w:bCs/>
                <w:color w:val="FFFFFF"/>
                <w:sz w:val="19"/>
                <w:szCs w:val="19"/>
              </w:rPr>
              <w:t xml:space="preserve">Source</w:t>
            </w:r>
          </w:p>
        </w:tc>
      </w:tr>
      <w:tr>
        <w:tc>
          <w:tcPr>
            <w:tcW w:type="dxa" w:w="2880"/>
            <w:tcBorders>
              <w:top w:val="single" w:color="CCCCCC" w:sz="1"/>
              <w:left w:val="single" w:color="CCCCCC" w:sz="1"/>
              <w:bottom w:val="single" w:color="CCCCCC" w:sz="1"/>
              <w:right w:val="single" w:color="CCCCCC" w:sz="1"/>
            </w:tcBorders>
            <w:shd w:fill="E8EDF5" w:val="clear"/>
            <w:tcMar>
              <w:top w:type="dxa" w:w="65"/>
              <w:left w:type="dxa" w:w="100"/>
              <w:bottom w:type="dxa" w:w="65"/>
              <w:right w:type="dxa" w:w="100"/>
            </w:tcMar>
          </w:tcPr>
          <w:p>
            <w:r>
              <w:rPr>
                <w:rFonts w:ascii="Arial" w:cs="Arial" w:eastAsia="Arial" w:hAnsi="Arial"/>
                <w:b/>
                <w:bCs/>
                <w:color w:val="1B3A6B"/>
                <w:sz w:val="19"/>
                <w:szCs w:val="19"/>
              </w:rPr>
              <w:t xml:space="preserve">Internal Consistency</w:t>
            </w:r>
          </w:p>
        </w:tc>
        <w:tc>
          <w:tcPr>
            <w:tcW w:type="dxa" w:w="4320"/>
            <w:tcBorders>
              <w:top w:val="single" w:color="CCCCCC" w:sz="1"/>
              <w:left w:val="single" w:color="CCCCCC" w:sz="1"/>
              <w:bottom w:val="single" w:color="CCCCCC" w:sz="1"/>
              <w:right w:val="single" w:color="CCCCCC" w:sz="1"/>
            </w:tcBorders>
            <w:shd w:fill="EEF2F8" w:val="clear"/>
            <w:tcMar>
              <w:top w:type="dxa" w:w="65"/>
              <w:left w:type="dxa" w:w="100"/>
              <w:bottom w:type="dxa" w:w="65"/>
              <w:right w:type="dxa" w:w="100"/>
            </w:tcMar>
          </w:tcPr>
          <w:p>
            <w:r>
              <w:rPr>
                <w:rFonts w:ascii="Arial" w:cs="Arial" w:eastAsia="Arial" w:hAnsi="Arial"/>
                <w:b w:val="false"/>
                <w:bCs w:val="false"/>
                <w:color w:val="1A1A2E"/>
                <w:sz w:val="19"/>
                <w:szCs w:val="19"/>
              </w:rPr>
              <w:t xml:space="preserve">RHO validity coefficient built into every individual assessment. RHO above .700 indicates valid response. Mean RHO across clinical populations consistently above .80</w:t>
            </w:r>
          </w:p>
        </w:tc>
        <w:tc>
          <w:tcPr>
            <w:tcW w:type="dxa" w:w="2160"/>
            <w:tcBorders>
              <w:top w:val="single" w:color="CCCCCC" w:sz="1"/>
              <w:left w:val="single" w:color="CCCCCC" w:sz="1"/>
              <w:bottom w:val="single" w:color="CCCCCC" w:sz="1"/>
              <w:right w:val="single" w:color="CCCCCC" w:sz="1"/>
            </w:tcBorders>
            <w:shd w:fill="E6F4F1" w:val="clear"/>
            <w:tcMar>
              <w:top w:type="dxa" w:w="65"/>
              <w:left w:type="dxa" w:w="100"/>
              <w:bottom w:type="dxa" w:w="65"/>
              <w:right w:type="dxa" w:w="100"/>
            </w:tcMar>
          </w:tcPr>
          <w:p>
            <w:r>
              <w:rPr>
                <w:rFonts w:ascii="Arial" w:cs="Arial" w:eastAsia="Arial" w:hAnsi="Arial"/>
                <w:b w:val="false"/>
                <w:bCs w:val="false"/>
                <w:color w:val="1A1A2E"/>
                <w:sz w:val="19"/>
                <w:szCs w:val="19"/>
              </w:rPr>
              <w:t xml:space="preserve">Judgment Index technical documentation; Value Resource Group research</w:t>
            </w:r>
          </w:p>
        </w:tc>
      </w:tr>
      <w:tr>
        <w:tc>
          <w:tcPr>
            <w:tcW w:type="dxa" w:w="2880"/>
            <w:tcBorders>
              <w:top w:val="single" w:color="CCCCCC" w:sz="1"/>
              <w:left w:val="single" w:color="CCCCCC" w:sz="1"/>
              <w:bottom w:val="single" w:color="CCCCCC" w:sz="1"/>
              <w:right w:val="single" w:color="CCCCCC" w:sz="1"/>
            </w:tcBorders>
            <w:shd w:fill="E8EDF5" w:val="clear"/>
            <w:tcMar>
              <w:top w:type="dxa" w:w="65"/>
              <w:left w:type="dxa" w:w="100"/>
              <w:bottom w:type="dxa" w:w="65"/>
              <w:right w:type="dxa" w:w="100"/>
            </w:tcMar>
          </w:tcPr>
          <w:p>
            <w:r>
              <w:rPr>
                <w:rFonts w:ascii="Arial" w:cs="Arial" w:eastAsia="Arial" w:hAnsi="Arial"/>
                <w:b/>
                <w:bCs/>
                <w:color w:val="1B3A6B"/>
                <w:sz w:val="19"/>
                <w:szCs w:val="19"/>
              </w:rPr>
              <w:t xml:space="preserve">Construct Validity</w:t>
            </w:r>
          </w:p>
        </w:tc>
        <w:tc>
          <w:tcPr>
            <w:tcW w:type="dxa" w:w="4320"/>
            <w:tcBorders>
              <w:top w:val="single" w:color="CCCCCC" w:sz="1"/>
              <w:left w:val="single" w:color="CCCCCC" w:sz="1"/>
              <w:bottom w:val="single" w:color="CCCCCC" w:sz="1"/>
              <w:right w:val="single" w:color="CCCCCC" w:sz="1"/>
            </w:tcBorders>
            <w:shd w:fill="EEF2F8" w:val="clear"/>
            <w:tcMar>
              <w:top w:type="dxa" w:w="65"/>
              <w:left w:type="dxa" w:w="100"/>
              <w:bottom w:type="dxa" w:w="65"/>
              <w:right w:type="dxa" w:w="100"/>
            </w:tcMar>
          </w:tcPr>
          <w:p>
            <w:r>
              <w:rPr>
                <w:rFonts w:ascii="Arial" w:cs="Arial" w:eastAsia="Arial" w:hAnsi="Arial"/>
                <w:b w:val="false"/>
                <w:bCs w:val="false"/>
                <w:color w:val="1A1A2E"/>
                <w:sz w:val="19"/>
                <w:szCs w:val="19"/>
              </w:rPr>
              <w:t xml:space="preserve">The three-domain structure (Intrinsic, Extrinsic, Systemic) is derived from Hartman’s formal axiological theory, not empirically derived from population data</w:t>
            </w:r>
          </w:p>
        </w:tc>
        <w:tc>
          <w:tcPr>
            <w:tcW w:type="dxa" w:w="2160"/>
            <w:tcBorders>
              <w:top w:val="single" w:color="CCCCCC" w:sz="1"/>
              <w:left w:val="single" w:color="CCCCCC" w:sz="1"/>
              <w:bottom w:val="single" w:color="CCCCCC" w:sz="1"/>
              <w:right w:val="single" w:color="CCCCCC" w:sz="1"/>
            </w:tcBorders>
            <w:shd w:fill="E6F4F1" w:val="clear"/>
            <w:tcMar>
              <w:top w:type="dxa" w:w="65"/>
              <w:left w:type="dxa" w:w="100"/>
              <w:bottom w:type="dxa" w:w="65"/>
              <w:right w:type="dxa" w:w="100"/>
            </w:tcMar>
          </w:tcPr>
          <w:p>
            <w:r>
              <w:rPr>
                <w:rFonts w:ascii="Arial" w:cs="Arial" w:eastAsia="Arial" w:hAnsi="Arial"/>
                <w:b w:val="false"/>
                <w:bCs w:val="false"/>
                <w:color w:val="1A1A2E"/>
                <w:sz w:val="19"/>
                <w:szCs w:val="19"/>
              </w:rPr>
              <w:t xml:space="preserve">Hartman, R.S. (1967). The Structure of Value. Southern Illinois University Press</w:t>
            </w:r>
          </w:p>
        </w:tc>
      </w:tr>
      <w:tr>
        <w:tc>
          <w:tcPr>
            <w:tcW w:type="dxa" w:w="2880"/>
            <w:tcBorders>
              <w:top w:val="single" w:color="CCCCCC" w:sz="1"/>
              <w:left w:val="single" w:color="CCCCCC" w:sz="1"/>
              <w:bottom w:val="single" w:color="CCCCCC" w:sz="1"/>
              <w:right w:val="single" w:color="CCCCCC" w:sz="1"/>
            </w:tcBorders>
            <w:shd w:fill="E8EDF5" w:val="clear"/>
            <w:tcMar>
              <w:top w:type="dxa" w:w="65"/>
              <w:left w:type="dxa" w:w="100"/>
              <w:bottom w:type="dxa" w:w="65"/>
              <w:right w:type="dxa" w:w="100"/>
            </w:tcMar>
          </w:tcPr>
          <w:p>
            <w:r>
              <w:rPr>
                <w:rFonts w:ascii="Arial" w:cs="Arial" w:eastAsia="Arial" w:hAnsi="Arial"/>
                <w:b/>
                <w:bCs/>
                <w:color w:val="1B3A6B"/>
                <w:sz w:val="19"/>
                <w:szCs w:val="19"/>
              </w:rPr>
              <w:t xml:space="preserve">Criterion Validity</w:t>
            </w:r>
          </w:p>
        </w:tc>
        <w:tc>
          <w:tcPr>
            <w:tcW w:type="dxa" w:w="4320"/>
            <w:tcBorders>
              <w:top w:val="single" w:color="CCCCCC" w:sz="1"/>
              <w:left w:val="single" w:color="CCCCCC" w:sz="1"/>
              <w:bottom w:val="single" w:color="CCCCCC" w:sz="1"/>
              <w:right w:val="single" w:color="CCCCCC" w:sz="1"/>
            </w:tcBorders>
            <w:shd w:fill="EEF2F8" w:val="clear"/>
            <w:tcMar>
              <w:top w:type="dxa" w:w="65"/>
              <w:left w:type="dxa" w:w="100"/>
              <w:bottom w:type="dxa" w:w="65"/>
              <w:right w:type="dxa" w:w="100"/>
            </w:tcMar>
          </w:tcPr>
          <w:p>
            <w:r>
              <w:rPr>
                <w:rFonts w:ascii="Arial" w:cs="Arial" w:eastAsia="Arial" w:hAnsi="Arial"/>
                <w:b w:val="false"/>
                <w:bCs w:val="false"/>
                <w:color w:val="1A1A2E"/>
                <w:sz w:val="19"/>
                <w:szCs w:val="19"/>
              </w:rPr>
              <w:t xml:space="preserve">JI scores predict job performance outcomes, leadership effectiveness and safety behaviour in longitudinal studies across healthcare, corporate and defence sectors</w:t>
            </w:r>
          </w:p>
        </w:tc>
        <w:tc>
          <w:tcPr>
            <w:tcW w:type="dxa" w:w="2160"/>
            <w:tcBorders>
              <w:top w:val="single" w:color="CCCCCC" w:sz="1"/>
              <w:left w:val="single" w:color="CCCCCC" w:sz="1"/>
              <w:bottom w:val="single" w:color="CCCCCC" w:sz="1"/>
              <w:right w:val="single" w:color="CCCCCC" w:sz="1"/>
            </w:tcBorders>
            <w:shd w:fill="E6F4F1" w:val="clear"/>
            <w:tcMar>
              <w:top w:type="dxa" w:w="65"/>
              <w:left w:type="dxa" w:w="100"/>
              <w:bottom w:type="dxa" w:w="65"/>
              <w:right w:type="dxa" w:w="100"/>
            </w:tcMar>
          </w:tcPr>
          <w:p>
            <w:r>
              <w:rPr>
                <w:rFonts w:ascii="Arial" w:cs="Arial" w:eastAsia="Arial" w:hAnsi="Arial"/>
                <w:b w:val="false"/>
                <w:bCs w:val="false"/>
                <w:color w:val="1A1A2E"/>
                <w:sz w:val="19"/>
                <w:szCs w:val="19"/>
              </w:rPr>
              <w:t xml:space="preserve">National Library of Medicine: PMC clinical applications research, 2016</w:t>
            </w:r>
          </w:p>
        </w:tc>
      </w:tr>
      <w:tr>
        <w:tc>
          <w:tcPr>
            <w:tcW w:type="dxa" w:w="2880"/>
            <w:tcBorders>
              <w:top w:val="single" w:color="CCCCCC" w:sz="1"/>
              <w:left w:val="single" w:color="CCCCCC" w:sz="1"/>
              <w:bottom w:val="single" w:color="CCCCCC" w:sz="1"/>
              <w:right w:val="single" w:color="CCCCCC" w:sz="1"/>
            </w:tcBorders>
            <w:shd w:fill="E8EDF5" w:val="clear"/>
            <w:tcMar>
              <w:top w:type="dxa" w:w="65"/>
              <w:left w:type="dxa" w:w="100"/>
              <w:bottom w:type="dxa" w:w="65"/>
              <w:right w:type="dxa" w:w="100"/>
            </w:tcMar>
          </w:tcPr>
          <w:p>
            <w:r>
              <w:rPr>
                <w:rFonts w:ascii="Arial" w:cs="Arial" w:eastAsia="Arial" w:hAnsi="Arial"/>
                <w:b/>
                <w:bCs/>
                <w:color w:val="1B3A6B"/>
                <w:sz w:val="19"/>
                <w:szCs w:val="19"/>
              </w:rPr>
              <w:t xml:space="preserve">Cross-Cultural Validity</w:t>
            </w:r>
          </w:p>
        </w:tc>
        <w:tc>
          <w:tcPr>
            <w:tcW w:type="dxa" w:w="4320"/>
            <w:tcBorders>
              <w:top w:val="single" w:color="CCCCCC" w:sz="1"/>
              <w:left w:val="single" w:color="CCCCCC" w:sz="1"/>
              <w:bottom w:val="single" w:color="CCCCCC" w:sz="1"/>
              <w:right w:val="single" w:color="CCCCCC" w:sz="1"/>
            </w:tcBorders>
            <w:shd w:fill="EEF2F8" w:val="clear"/>
            <w:tcMar>
              <w:top w:type="dxa" w:w="65"/>
              <w:left w:type="dxa" w:w="100"/>
              <w:bottom w:type="dxa" w:w="65"/>
              <w:right w:type="dxa" w:w="100"/>
            </w:tcMar>
          </w:tcPr>
          <w:p>
            <w:r>
              <w:rPr>
                <w:rFonts w:ascii="Arial" w:cs="Arial" w:eastAsia="Arial" w:hAnsi="Arial"/>
                <w:b w:val="false"/>
                <w:bCs w:val="false"/>
                <w:color w:val="1A1A2E"/>
                <w:sz w:val="19"/>
                <w:szCs w:val="19"/>
              </w:rPr>
              <w:t xml:space="preserve">Applied successfully across US, UK, Australian, Canadian and international populations since the 1970s with consistent predictive validity</w:t>
            </w:r>
          </w:p>
        </w:tc>
        <w:tc>
          <w:tcPr>
            <w:tcW w:type="dxa" w:w="2160"/>
            <w:tcBorders>
              <w:top w:val="single" w:color="CCCCCC" w:sz="1"/>
              <w:left w:val="single" w:color="CCCCCC" w:sz="1"/>
              <w:bottom w:val="single" w:color="CCCCCC" w:sz="1"/>
              <w:right w:val="single" w:color="CCCCCC" w:sz="1"/>
            </w:tcBorders>
            <w:shd w:fill="E6F4F1" w:val="clear"/>
            <w:tcMar>
              <w:top w:type="dxa" w:w="65"/>
              <w:left w:type="dxa" w:w="100"/>
              <w:bottom w:type="dxa" w:w="65"/>
              <w:right w:type="dxa" w:w="100"/>
            </w:tcMar>
          </w:tcPr>
          <w:p>
            <w:r>
              <w:rPr>
                <w:rFonts w:ascii="Arial" w:cs="Arial" w:eastAsia="Arial" w:hAnsi="Arial"/>
                <w:b w:val="false"/>
                <w:bCs w:val="false"/>
                <w:color w:val="1A1A2E"/>
                <w:sz w:val="19"/>
                <w:szCs w:val="19"/>
              </w:rPr>
              <w:t xml:space="preserve">Value Resource Group international deployment data; JIAU Australian application studies</w:t>
            </w:r>
          </w:p>
        </w:tc>
      </w:tr>
      <w:tr>
        <w:tc>
          <w:tcPr>
            <w:tcW w:type="dxa" w:w="2880"/>
            <w:tcBorders>
              <w:top w:val="single" w:color="CCCCCC" w:sz="1"/>
              <w:left w:val="single" w:color="CCCCCC" w:sz="1"/>
              <w:bottom w:val="single" w:color="CCCCCC" w:sz="1"/>
              <w:right w:val="single" w:color="CCCCCC" w:sz="1"/>
            </w:tcBorders>
            <w:shd w:fill="E8EDF5" w:val="clear"/>
            <w:tcMar>
              <w:top w:type="dxa" w:w="65"/>
              <w:left w:type="dxa" w:w="100"/>
              <w:bottom w:type="dxa" w:w="65"/>
              <w:right w:type="dxa" w:w="100"/>
            </w:tcMar>
          </w:tcPr>
          <w:p>
            <w:r>
              <w:rPr>
                <w:rFonts w:ascii="Arial" w:cs="Arial" w:eastAsia="Arial" w:hAnsi="Arial"/>
                <w:b/>
                <w:bCs/>
                <w:color w:val="1B3A6B"/>
                <w:sz w:val="19"/>
                <w:szCs w:val="19"/>
              </w:rPr>
              <w:t xml:space="preserve">Predictive Validity for Safety</w:t>
            </w:r>
          </w:p>
        </w:tc>
        <w:tc>
          <w:tcPr>
            <w:tcW w:type="dxa" w:w="4320"/>
            <w:tcBorders>
              <w:top w:val="single" w:color="CCCCCC" w:sz="1"/>
              <w:left w:val="single" w:color="CCCCCC" w:sz="1"/>
              <w:bottom w:val="single" w:color="CCCCCC" w:sz="1"/>
              <w:right w:val="single" w:color="CCCCCC" w:sz="1"/>
            </w:tcBorders>
            <w:shd w:fill="EEF2F8" w:val="clear"/>
            <w:tcMar>
              <w:top w:type="dxa" w:w="65"/>
              <w:left w:type="dxa" w:w="100"/>
              <w:bottom w:type="dxa" w:w="65"/>
              <w:right w:type="dxa" w:w="100"/>
            </w:tcMar>
          </w:tcPr>
          <w:p>
            <w:r>
              <w:rPr>
                <w:rFonts w:ascii="Arial" w:cs="Arial" w:eastAsia="Arial" w:hAnsi="Arial"/>
                <w:b w:val="false"/>
                <w:bCs w:val="false"/>
                <w:color w:val="1A1A2E"/>
                <w:sz w:val="19"/>
                <w:szCs w:val="19"/>
              </w:rPr>
              <w:t xml:space="preserve">JI safety dimensions (Care of Surroundings, Following Directions, Coping under Stress) predict workplace incident risk in high-risk industries</w:t>
            </w:r>
          </w:p>
        </w:tc>
        <w:tc>
          <w:tcPr>
            <w:tcW w:type="dxa" w:w="2160"/>
            <w:tcBorders>
              <w:top w:val="single" w:color="CCCCCC" w:sz="1"/>
              <w:left w:val="single" w:color="CCCCCC" w:sz="1"/>
              <w:bottom w:val="single" w:color="CCCCCC" w:sz="1"/>
              <w:right w:val="single" w:color="CCCCCC" w:sz="1"/>
            </w:tcBorders>
            <w:shd w:fill="E6F4F1" w:val="clear"/>
            <w:tcMar>
              <w:top w:type="dxa" w:w="65"/>
              <w:left w:type="dxa" w:w="100"/>
              <w:bottom w:type="dxa" w:w="65"/>
              <w:right w:type="dxa" w:w="100"/>
            </w:tcMar>
          </w:tcPr>
          <w:p>
            <w:r>
              <w:rPr>
                <w:rFonts w:ascii="Arial" w:cs="Arial" w:eastAsia="Arial" w:hAnsi="Arial"/>
                <w:b w:val="false"/>
                <w:bCs w:val="false"/>
                <w:color w:val="1A1A2E"/>
                <w:sz w:val="19"/>
                <w:szCs w:val="19"/>
              </w:rPr>
              <w:t xml:space="preserve">Published WHS sector research; JIAU SafeHire application data</w:t>
            </w:r>
          </w:p>
        </w:tc>
      </w:tr>
      <w:tr>
        <w:tc>
          <w:tcPr>
            <w:tcW w:type="dxa" w:w="2880"/>
            <w:tcBorders>
              <w:top w:val="single" w:color="CCCCCC" w:sz="1"/>
              <w:left w:val="single" w:color="CCCCCC" w:sz="1"/>
              <w:bottom w:val="single" w:color="CCCCCC" w:sz="1"/>
              <w:right w:val="single" w:color="CCCCCC" w:sz="1"/>
            </w:tcBorders>
            <w:shd w:fill="E8EDF5" w:val="clear"/>
            <w:tcMar>
              <w:top w:type="dxa" w:w="65"/>
              <w:left w:type="dxa" w:w="100"/>
              <w:bottom w:type="dxa" w:w="65"/>
              <w:right w:type="dxa" w:w="100"/>
            </w:tcMar>
          </w:tcPr>
          <w:p>
            <w:r>
              <w:rPr>
                <w:rFonts w:ascii="Arial" w:cs="Arial" w:eastAsia="Arial" w:hAnsi="Arial"/>
                <w:b/>
                <w:bCs/>
                <w:color w:val="1B3A6B"/>
                <w:sz w:val="19"/>
                <w:szCs w:val="19"/>
              </w:rPr>
              <w:t xml:space="preserve">Resistance to Social Desirability Bias</w:t>
            </w:r>
          </w:p>
        </w:tc>
        <w:tc>
          <w:tcPr>
            <w:tcW w:type="dxa" w:w="4320"/>
            <w:tcBorders>
              <w:top w:val="single" w:color="CCCCCC" w:sz="1"/>
              <w:left w:val="single" w:color="CCCCCC" w:sz="1"/>
              <w:bottom w:val="single" w:color="CCCCCC" w:sz="1"/>
              <w:right w:val="single" w:color="CCCCCC" w:sz="1"/>
            </w:tcBorders>
            <w:shd w:fill="EEF2F8" w:val="clear"/>
            <w:tcMar>
              <w:top w:type="dxa" w:w="65"/>
              <w:left w:type="dxa" w:w="100"/>
              <w:bottom w:type="dxa" w:w="65"/>
              <w:right w:type="dxa" w:w="100"/>
            </w:tcMar>
          </w:tcPr>
          <w:p>
            <w:r>
              <w:rPr>
                <w:rFonts w:ascii="Arial" w:cs="Arial" w:eastAsia="Arial" w:hAnsi="Arial"/>
                <w:b w:val="false"/>
                <w:bCs w:val="false"/>
                <w:color w:val="1A1A2E"/>
                <w:sz w:val="19"/>
                <w:szCs w:val="19"/>
              </w:rPr>
              <w:t xml:space="preserve">Axiological scoring methodology means there is no strategically advantageous response pattern. Unlike Likert-scale surveys, the JI cannot be gamed in a predictable direction</w:t>
            </w:r>
          </w:p>
        </w:tc>
        <w:tc>
          <w:tcPr>
            <w:tcW w:type="dxa" w:w="2160"/>
            <w:tcBorders>
              <w:top w:val="single" w:color="CCCCCC" w:sz="1"/>
              <w:left w:val="single" w:color="CCCCCC" w:sz="1"/>
              <w:bottom w:val="single" w:color="CCCCCC" w:sz="1"/>
              <w:right w:val="single" w:color="CCCCCC" w:sz="1"/>
            </w:tcBorders>
            <w:shd w:fill="E6F4F1" w:val="clear"/>
            <w:tcMar>
              <w:top w:type="dxa" w:w="65"/>
              <w:left w:type="dxa" w:w="100"/>
              <w:bottom w:type="dxa" w:w="65"/>
              <w:right w:type="dxa" w:w="100"/>
            </w:tcMar>
          </w:tcPr>
          <w:p>
            <w:r>
              <w:rPr>
                <w:rFonts w:ascii="Arial" w:cs="Arial" w:eastAsia="Arial" w:hAnsi="Arial"/>
                <w:b w:val="false"/>
                <w:bCs w:val="false"/>
                <w:color w:val="1A1A2E"/>
                <w:sz w:val="19"/>
                <w:szCs w:val="19"/>
              </w:rPr>
              <w:t xml:space="preserve">Hartman axiological theory; validated in clinical and forensic assessment contexts</w:t>
            </w:r>
          </w:p>
        </w:tc>
      </w:tr>
    </w:tbl>
    <w:p>
      <w:pPr>
        <w:spacing w:after="0" w:before="70"/>
      </w:pPr>
    </w:p>
    <w:p>
      <w:pPr>
        <w:pStyle w:val="Heading2"/>
        <w:keepNext/>
        <w:spacing w:after="90" w:before="240"/>
      </w:pPr>
      <w:r>
        <w:rPr>
          <w:rFonts w:ascii="Arial" w:cs="Arial" w:eastAsia="Arial" w:hAnsi="Arial"/>
          <w:b/>
          <w:bCs/>
          <w:color w:val="0D7A6B"/>
          <w:sz w:val="26"/>
          <w:szCs w:val="26"/>
        </w:rPr>
        <w:t xml:space="preserve">The RHO Validity Score: Built-In Authenticity Verification</w:t>
      </w:r>
    </w:p>
    <w:p>
      <w:pPr>
        <w:spacing w:after="65" w:before="65"/>
      </w:pPr>
      <w:r>
        <w:rPr>
          <w:rFonts w:ascii="Arial" w:cs="Arial" w:eastAsia="Arial" w:hAnsi="Arial"/>
          <w:b w:val="false"/>
          <w:bCs w:val="false"/>
          <w:i w:val="false"/>
          <w:iCs w:val="false"/>
          <w:color w:val="1A1A2E"/>
          <w:sz w:val="22"/>
          <w:szCs w:val="22"/>
        </w:rPr>
        <w:t xml:space="preserve">Every individual JI assessment produces a RHO validity score that measures the internal consistency of the response - effectively, whether the person answered authentically or attempted to answer strategically. An RHO score above .700 is considered valid. Scores above .900 are exceptionally strong.</w:t>
      </w:r>
    </w:p>
    <w:p>
      <w:pPr>
        <w:spacing w:after="0" w:before="55"/>
      </w:pPr>
    </w:p>
    <w:p>
      <w:pPr>
        <w:spacing w:after="65" w:before="65"/>
      </w:pPr>
      <w:r>
        <w:rPr>
          <w:rFonts w:ascii="Arial" w:cs="Arial" w:eastAsia="Arial" w:hAnsi="Arial"/>
          <w:b w:val="false"/>
          <w:bCs w:val="false"/>
          <w:i w:val="false"/>
          <w:iCs w:val="false"/>
          <w:color w:val="1A1A2E"/>
          <w:sz w:val="22"/>
          <w:szCs w:val="22"/>
        </w:rPr>
        <w:t xml:space="preserve">This is a feature that no self-report survey or Likert-scale assessment can replicate. An engagement survey cannot tell you whether the 82% favourable response reflects genuine engagement or social desirability. A JI assessment with an RHO of .926 tells you the result is genuine, not performed.</w:t>
      </w:r>
    </w:p>
    <w:p>
      <w:pPr>
        <w:spacing w:after="0" w:before="70"/>
      </w:pPr>
    </w:p>
    <w:p>
      <w:pPr>
        <w:pStyle w:val="Heading2"/>
        <w:keepNext/>
        <w:spacing w:after="90" w:before="240"/>
      </w:pPr>
      <w:r>
        <w:rPr>
          <w:rFonts w:ascii="Arial" w:cs="Arial" w:eastAsia="Arial" w:hAnsi="Arial"/>
          <w:b/>
          <w:bCs/>
          <w:color w:val="147842"/>
          <w:sz w:val="26"/>
          <w:szCs w:val="26"/>
        </w:rPr>
        <w:t xml:space="preserve">Australian Regulatory Context: WHS Defensibility</w:t>
      </w:r>
    </w:p>
    <w:p>
      <w:pPr>
        <w:spacing w:after="65" w:before="65"/>
      </w:pPr>
      <w:r>
        <w:rPr>
          <w:rFonts w:ascii="Arial" w:cs="Arial" w:eastAsia="Arial" w:hAnsi="Arial"/>
          <w:b w:val="false"/>
          <w:bCs w:val="false"/>
          <w:i w:val="false"/>
          <w:iCs w:val="false"/>
          <w:color w:val="1A1A2E"/>
          <w:sz w:val="22"/>
          <w:szCs w:val="22"/>
        </w:rPr>
        <w:t xml:space="preserve">Under the Safe Work Australia Code of Practice on Managing Psychosocial Hazards (2022–2023), Australian employers are required to identify and manage psychosocial risks. JI assessments provide individual-level psychosocial risk data across validated dimensions including work stress coping, personal stress coping, dealing with difficult people, self-esteem and self-direction, and care of surroundings.</w:t>
      </w:r>
    </w:p>
    <w:p>
      <w:pPr>
        <w:spacing w:after="0" w:before="55"/>
      </w:pPr>
    </w:p>
    <w:p>
      <w:pPr>
        <w:spacing w:after="65" w:before="65"/>
      </w:pPr>
      <w:r>
        <w:rPr>
          <w:rFonts w:ascii="Arial" w:cs="Arial" w:eastAsia="Arial" w:hAnsi="Arial"/>
          <w:b w:val="false"/>
          <w:bCs w:val="false"/>
          <w:i w:val="false"/>
          <w:iCs w:val="false"/>
          <w:color w:val="1A1A2E"/>
          <w:sz w:val="22"/>
          <w:szCs w:val="22"/>
        </w:rPr>
        <w:t xml:space="preserve">This data is produced by a validated instrument with 60 years of research support. It is defensible in a WorkCover investigation, a Fair Work hearing and a board governance review in a way that a wellbeing survey or a manager’s subjective assessment is not.</w:t>
      </w:r>
    </w:p>
    <w:p>
      <w:pPr>
        <w:spacing w:after="0" w:before="7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D7A6B" w:sz="1"/>
              <w:left w:val="single" w:color="0D7A6B" w:sz="1"/>
              <w:bottom w:val="single" w:color="0D7A6B" w:sz="1"/>
              <w:right w:val="single" w:color="0D7A6B" w:sz="1"/>
            </w:tcBorders>
            <w:shd w:fill="E6F4F1" w:val="clear"/>
            <w:tcMar>
              <w:top w:type="dxa" w:w="160"/>
              <w:left w:type="dxa" w:w="200"/>
              <w:bottom w:type="dxa" w:w="160"/>
              <w:right w:type="dxa" w:w="200"/>
            </w:tcMar>
          </w:tcPr>
          <w:p>
            <w:pPr>
              <w:spacing w:after="60" w:before="0"/>
            </w:pPr>
            <w:r>
              <w:rPr>
                <w:rFonts w:ascii="Arial" w:cs="Arial" w:eastAsia="Arial" w:hAnsi="Arial"/>
                <w:b/>
                <w:bCs/>
                <w:color w:val="0D7A6B"/>
                <w:sz w:val="22"/>
                <w:szCs w:val="22"/>
              </w:rPr>
              <w:t xml:space="preserve">What to do next</w:t>
            </w:r>
          </w:p>
          <w:p>
            <w:pPr>
              <w:spacing w:after="50" w:before="0"/>
            </w:pPr>
            <w:r>
              <w:rPr>
                <w:rFonts w:ascii="Arial" w:cs="Arial" w:eastAsia="Arial" w:hAnsi="Arial"/>
                <w:color w:val="1A1A2E"/>
                <w:sz w:val="22"/>
                <w:szCs w:val="22"/>
              </w:rPr>
              <w:t xml:space="preserve">The full validation documentation for the Judgment Index is available to JIAU clients and prospective clients on request. If you are in a procurement, legal or governance role evaluating the JI for organisational deployment, we will provide the complete technical validation package at no cost.</w:t>
            </w:r>
          </w:p>
          <w:p>
            <w:pPr>
              <w:spacing w:after="50" w:before="0"/>
            </w:pPr>
            <w:r>
              <w:rPr>
                <w:rFonts w:ascii="Arial" w:cs="Arial" w:eastAsia="Arial" w:hAnsi="Arial"/>
                <w:b/>
                <w:bCs/>
                <w:color w:val="0D7A6B"/>
                <w:sz w:val="22"/>
                <w:szCs w:val="22"/>
              </w:rPr>
              <w:t xml:space="preserve">Request the JI Validation Package: jiau.com.au/validity</w:t>
            </w:r>
          </w:p>
          <w:p>
            <w:pPr>
              <w:spacing w:after="0" w:before="0"/>
            </w:pPr>
            <w:r>
              <w:rPr>
                <w:rFonts w:ascii="Arial" w:cs="Arial" w:eastAsia="Arial" w:hAnsi="Arial"/>
                <w:i/>
                <w:iCs/>
                <w:color w:val="4A5568"/>
                <w:sz w:val="20"/>
                <w:szCs w:val="20"/>
              </w:rPr>
              <w:t xml:space="preserve">Book at: jiau.com.au  ·  Or call: 1300 677 572  ·  Or email: info@jiau.com.au</w:t>
            </w:r>
          </w:p>
        </w:tc>
      </w:tr>
    </w:tbl>
    <w:p>
      <w:r>
        <w:br w:type="page"/>
      </w:r>
    </w:p>
    <w:p>
      <w:pPr>
        <w:pStyle w:val="Heading1"/>
        <w:pageBreakBefore/>
        <w:spacing w:after="110" w:before="0"/>
      </w:pPr>
      <w:r>
        <w:rPr>
          <w:rFonts w:ascii="Arial" w:cs="Arial" w:eastAsia="Arial" w:hAnsi="Arial"/>
          <w:b/>
          <w:bCs/>
          <w:color w:val="1B3A6B"/>
          <w:sz w:val="34"/>
          <w:szCs w:val="34"/>
        </w:rPr>
        <w:t xml:space="preserve">White Paper 10: Human Judgement Intelligence in the Age of AI</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thick" w:color="1B3A6B" w:sz="12"/>
              <w:left w:val="thick" w:color="1B3A6B" w:sz="12"/>
              <w:bottom w:val="thick" w:color="1B3A6B" w:sz="12"/>
              <w:right w:val="thick" w:color="1B3A6B" w:sz="12"/>
            </w:tcBorders>
            <w:shd w:fill="E8EDF5" w:val="clear"/>
            <w:tcMar>
              <w:top w:type="dxa" w:w="200"/>
              <w:left w:type="dxa" w:w="240"/>
              <w:bottom w:type="dxa" w:w="200"/>
              <w:right w:type="dxa" w:w="240"/>
            </w:tcMar>
          </w:tcPr>
          <w:p>
            <w:pPr>
              <w:spacing w:after="14" w:before="0"/>
            </w:pPr>
            <w:r>
              <w:rPr>
                <w:rFonts w:ascii="Arial" w:cs="Arial" w:eastAsia="Arial" w:hAnsi="Arial"/>
                <w:b/>
                <w:bCs/>
                <w:color w:val="1B3A6B"/>
                <w:sz w:val="18"/>
                <w:szCs w:val="18"/>
              </w:rPr>
              <w:t xml:space="preserve">WHITE PAPER 10 OF 10</w:t>
            </w:r>
          </w:p>
          <w:p>
            <w:pPr>
              <w:spacing w:after="24" w:before="0"/>
            </w:pPr>
            <w:r>
              <w:rPr>
                <w:rFonts w:ascii="Arial" w:cs="Arial" w:eastAsia="Arial" w:hAnsi="Arial"/>
                <w:b/>
                <w:bCs/>
                <w:color w:val="1B3A6B"/>
                <w:sz w:val="32"/>
                <w:szCs w:val="32"/>
              </w:rPr>
              <w:t xml:space="preserve">Human Judgement Intelligence in the Age of AI</w:t>
            </w:r>
          </w:p>
          <w:p>
            <w:pPr>
              <w:spacing w:after="40" w:before="0"/>
            </w:pPr>
            <w:r>
              <w:rPr>
                <w:rFonts w:ascii="Arial" w:cs="Arial" w:eastAsia="Arial" w:hAnsi="Arial"/>
                <w:i/>
                <w:iCs/>
                <w:color w:val="4A5568"/>
                <w:sz w:val="22"/>
                <w:szCs w:val="22"/>
              </w:rPr>
              <w:t xml:space="preserve">Why the Most Valuable Workplace Capability Is the One That AI Cannot Replace</w:t>
            </w:r>
          </w:p>
          <w:p>
            <w:pPr>
              <w:pBdr>
                <w:bottom w:val="single" w:color="1B3A6B" w:sz="6" w:space="1"/>
              </w:pBdr>
              <w:spacing w:after="160" w:before="160"/>
            </w:pPr>
          </w:p>
          <w:p>
            <w:pPr>
              <w:spacing w:after="14" w:before="40"/>
            </w:pPr>
            <w:r>
              <w:rPr>
                <w:rFonts w:ascii="Arial" w:cs="Arial" w:eastAsia="Arial" w:hAnsi="Arial"/>
                <w:b/>
                <w:bCs/>
                <w:color w:val="1B3A6B"/>
                <w:sz w:val="20"/>
                <w:szCs w:val="20"/>
              </w:rPr>
              <w:t xml:space="preserve">Primary audience: </w:t>
            </w:r>
            <w:r>
              <w:rPr>
                <w:rFonts w:ascii="Arial" w:cs="Arial" w:eastAsia="Arial" w:hAnsi="Arial"/>
                <w:color w:val="1A1A2E"/>
                <w:sz w:val="20"/>
                <w:szCs w:val="20"/>
              </w:rPr>
              <w:t xml:space="preserve">CEOs, Boards, CIOs, Strategy Leaders, Future of Work executives</w:t>
            </w:r>
          </w:p>
          <w:p>
            <w:pPr>
              <w:spacing w:after="14" w:before="0"/>
            </w:pPr>
            <w:r>
              <w:rPr>
                <w:rFonts w:ascii="Arial" w:cs="Arial" w:eastAsia="Arial" w:hAnsi="Arial"/>
                <w:b/>
                <w:bCs/>
                <w:color w:val="1B3A6B"/>
                <w:sz w:val="20"/>
                <w:szCs w:val="20"/>
              </w:rPr>
              <w:t xml:space="preserve">Recommended gate: </w:t>
            </w:r>
            <w:r>
              <w:rPr>
                <w:rFonts w:ascii="Arial" w:cs="Arial" w:eastAsia="Arial" w:hAnsi="Arial"/>
                <w:color w:val="1A1A2E"/>
                <w:sz w:val="20"/>
                <w:szCs w:val="20"/>
              </w:rPr>
              <w:t xml:space="preserve">Work email address  ·  First name  ·  Organisation</w:t>
            </w:r>
          </w:p>
          <w:p>
            <w:pPr>
              <w:spacing w:after="14" w:before="0"/>
            </w:pPr>
            <w:r>
              <w:rPr>
                <w:rFonts w:ascii="Arial" w:cs="Arial" w:eastAsia="Arial" w:hAnsi="Arial"/>
                <w:b/>
                <w:bCs/>
                <w:color w:val="1B3A6B"/>
                <w:sz w:val="20"/>
                <w:szCs w:val="20"/>
              </w:rPr>
              <w:t xml:space="preserve">Approximate length: </w:t>
            </w:r>
            <w:r>
              <w:rPr>
                <w:rFonts w:ascii="Arial" w:cs="Arial" w:eastAsia="Arial" w:hAnsi="Arial"/>
                <w:color w:val="1A1A2E"/>
                <w:sz w:val="20"/>
                <w:szCs w:val="20"/>
              </w:rPr>
              <w:t xml:space="preserve">1,300 words · 7 minute read</w:t>
            </w:r>
          </w:p>
          <w:p>
            <w:pPr>
              <w:spacing w:after="0" w:before="0"/>
            </w:pPr>
            <w:r>
              <w:rPr>
                <w:rFonts w:ascii="Arial" w:cs="Arial" w:eastAsia="Arial" w:hAnsi="Arial"/>
                <w:b/>
                <w:bCs/>
                <w:color w:val="1B3A6B"/>
                <w:sz w:val="20"/>
                <w:szCs w:val="20"/>
              </w:rPr>
              <w:t xml:space="preserve">Publisher: </w:t>
            </w:r>
            <w:r>
              <w:rPr>
                <w:rFonts w:ascii="Arial" w:cs="Arial" w:eastAsia="Arial" w:hAnsi="Arial"/>
                <w:color w:val="1A1A2E"/>
                <w:sz w:val="20"/>
                <w:szCs w:val="20"/>
              </w:rPr>
              <w:t xml:space="preserve">Judgment Index Australia (JIAU)  ·  jiau.com.au  ·  © 2026</w:t>
            </w:r>
          </w:p>
        </w:tc>
      </w:tr>
    </w:tbl>
    <w:p>
      <w:pPr>
        <w:spacing w:after="0" w:before="70"/>
      </w:pPr>
    </w:p>
    <w:p>
      <w:pPr>
        <w:pStyle w:val="Heading2"/>
        <w:keepNext/>
        <w:spacing w:after="90" w:before="240"/>
      </w:pPr>
      <w:r>
        <w:rPr>
          <w:rFonts w:ascii="Arial" w:cs="Arial" w:eastAsia="Arial" w:hAnsi="Arial"/>
          <w:b/>
          <w:bCs/>
          <w:color w:val="1B3A6B"/>
          <w:sz w:val="26"/>
          <w:szCs w:val="26"/>
        </w:rPr>
        <w:t xml:space="preserve">The Automation Paradox</w:t>
      </w:r>
    </w:p>
    <w:p>
      <w:pPr>
        <w:spacing w:after="65" w:before="65"/>
      </w:pPr>
      <w:r>
        <w:rPr>
          <w:rFonts w:ascii="Arial" w:cs="Arial" w:eastAsia="Arial" w:hAnsi="Arial"/>
          <w:b w:val="false"/>
          <w:bCs w:val="false"/>
          <w:i w:val="false"/>
          <w:iCs w:val="false"/>
          <w:color w:val="1A1A2E"/>
          <w:sz w:val="22"/>
          <w:szCs w:val="22"/>
        </w:rPr>
        <w:t xml:space="preserve">Artificial intelligence is automating routine cognitive tasks at a pace that is transforming every industry in Australia. Analysis, synthesis, drafting, calculation, scheduling, pattern recognition - these capabilities are being augmented or replaced by AI tools that are faster, cheaper and more consistent than human equivalents.</w:t>
      </w:r>
    </w:p>
    <w:p>
      <w:pPr>
        <w:spacing w:after="0" w:before="55"/>
      </w:pPr>
    </w:p>
    <w:p>
      <w:pPr>
        <w:spacing w:after="65" w:before="65"/>
      </w:pPr>
      <w:r>
        <w:rPr>
          <w:rFonts w:ascii="Arial" w:cs="Arial" w:eastAsia="Arial" w:hAnsi="Arial"/>
          <w:b w:val="false"/>
          <w:bCs w:val="false"/>
          <w:i w:val="false"/>
          <w:iCs w:val="false"/>
          <w:color w:val="1A1A2E"/>
          <w:sz w:val="22"/>
          <w:szCs w:val="22"/>
        </w:rPr>
        <w:t xml:space="preserve">The response from most organisations has been to focus on AI adoption: which tools to use, how to train staff, what processes to automate. This is a necessary and important response.</w:t>
      </w:r>
    </w:p>
    <w:p>
      <w:pPr>
        <w:spacing w:after="0" w:before="55"/>
      </w:pPr>
    </w:p>
    <w:p>
      <w:pPr>
        <w:spacing w:after="65" w:before="65"/>
      </w:pPr>
      <w:r>
        <w:rPr>
          <w:rFonts w:ascii="Arial" w:cs="Arial" w:eastAsia="Arial" w:hAnsi="Arial"/>
          <w:b w:val="false"/>
          <w:bCs w:val="false"/>
          <w:i w:val="false"/>
          <w:iCs w:val="false"/>
          <w:color w:val="1A1A2E"/>
          <w:sz w:val="22"/>
          <w:szCs w:val="22"/>
        </w:rPr>
        <w:t xml:space="preserve">But it misses a more important strategic question: as AI handles more of the cognitive work, what human capabilities become more valuable, not less? Which human judgement qualities are genuinely irreplaceable - and is your organisation currently measuring and developing them?</w:t>
      </w:r>
    </w:p>
    <w:p>
      <w:pPr>
        <w:spacing w:after="0" w:before="70"/>
      </w:pPr>
    </w:p>
    <w:p>
      <w:pPr>
        <w:pStyle w:val="Heading2"/>
        <w:keepNext/>
        <w:spacing w:after="90" w:before="240"/>
      </w:pPr>
      <w:r>
        <w:rPr>
          <w:rFonts w:ascii="Arial" w:cs="Arial" w:eastAsia="Arial" w:hAnsi="Arial"/>
          <w:b/>
          <w:bCs/>
          <w:color w:val="0D7A6B"/>
          <w:sz w:val="26"/>
          <w:szCs w:val="26"/>
        </w:rPr>
        <w:t xml:space="preserve">What AI Cannot Replace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40"/>
        <w:gridCol w:w="3600"/>
        <w:gridCol w:w="2520"/>
      </w:tblGrid>
      <w:tr>
        <w:tc>
          <w:tcPr>
            <w:tcW w:type="dxa" w:w="3240"/>
            <w:tcBorders>
              <w:top w:val="single" w:color="CCCCCC" w:sz="1"/>
              <w:left w:val="single" w:color="CCCCCC" w:sz="1"/>
              <w:bottom w:val="single" w:color="CCCCCC" w:sz="1"/>
              <w:right w:val="single" w:color="CCCCCC" w:sz="1"/>
            </w:tcBorders>
            <w:shd w:fill="1B3A6B" w:val="clear"/>
            <w:tcMar>
              <w:top w:type="dxa" w:w="85"/>
              <w:left w:type="dxa" w:w="100"/>
              <w:bottom w:type="dxa" w:w="85"/>
              <w:right w:type="dxa" w:w="100"/>
            </w:tcMar>
          </w:tcPr>
          <w:p>
            <w:r>
              <w:rPr>
                <w:rFonts w:ascii="Arial" w:cs="Arial" w:eastAsia="Arial" w:hAnsi="Arial"/>
                <w:b/>
                <w:bCs/>
                <w:color w:val="FFFFFF"/>
                <w:sz w:val="19"/>
                <w:szCs w:val="19"/>
              </w:rPr>
              <w:t xml:space="preserve">Human Capability</w:t>
            </w:r>
          </w:p>
        </w:tc>
        <w:tc>
          <w:tcPr>
            <w:tcW w:type="dxa" w:w="3600"/>
            <w:tcBorders>
              <w:top w:val="single" w:color="CCCCCC" w:sz="1"/>
              <w:left w:val="single" w:color="CCCCCC" w:sz="1"/>
              <w:bottom w:val="single" w:color="CCCCCC" w:sz="1"/>
              <w:right w:val="single" w:color="CCCCCC" w:sz="1"/>
            </w:tcBorders>
            <w:shd w:fill="1B3A6B" w:val="clear"/>
            <w:tcMar>
              <w:top w:type="dxa" w:w="85"/>
              <w:left w:type="dxa" w:w="100"/>
              <w:bottom w:type="dxa" w:w="85"/>
              <w:right w:type="dxa" w:w="100"/>
            </w:tcMar>
          </w:tcPr>
          <w:p>
            <w:r>
              <w:rPr>
                <w:rFonts w:ascii="Arial" w:cs="Arial" w:eastAsia="Arial" w:hAnsi="Arial"/>
                <w:b/>
                <w:bCs/>
                <w:color w:val="FFFFFF"/>
                <w:sz w:val="19"/>
                <w:szCs w:val="19"/>
              </w:rPr>
              <w:t xml:space="preserve">Why AI Cannot Replicate It</w:t>
            </w:r>
          </w:p>
        </w:tc>
        <w:tc>
          <w:tcPr>
            <w:tcW w:type="dxa" w:w="2520"/>
            <w:tcBorders>
              <w:top w:val="single" w:color="CCCCCC" w:sz="1"/>
              <w:left w:val="single" w:color="CCCCCC" w:sz="1"/>
              <w:bottom w:val="single" w:color="CCCCCC" w:sz="1"/>
              <w:right w:val="single" w:color="CCCCCC" w:sz="1"/>
            </w:tcBorders>
            <w:shd w:fill="1B3A6B" w:val="clear"/>
            <w:tcMar>
              <w:top w:type="dxa" w:w="85"/>
              <w:left w:type="dxa" w:w="100"/>
              <w:bottom w:type="dxa" w:w="85"/>
              <w:right w:type="dxa" w:w="100"/>
            </w:tcMar>
          </w:tcPr>
          <w:p>
            <w:r>
              <w:rPr>
                <w:rFonts w:ascii="Arial" w:cs="Arial" w:eastAsia="Arial" w:hAnsi="Arial"/>
                <w:b/>
                <w:bCs/>
                <w:color w:val="FFFFFF"/>
                <w:sz w:val="19"/>
                <w:szCs w:val="19"/>
              </w:rPr>
              <w:t xml:space="preserve">JI Dimension That Measures It</w:t>
            </w:r>
          </w:p>
        </w:tc>
      </w:tr>
      <w:tr>
        <w:tc>
          <w:tcPr>
            <w:tcW w:type="dxa" w:w="3240"/>
            <w:tcBorders>
              <w:top w:val="single" w:color="CCCCCC" w:sz="1"/>
              <w:left w:val="single" w:color="CCCCCC" w:sz="1"/>
              <w:bottom w:val="single" w:color="CCCCCC" w:sz="1"/>
              <w:right w:val="single" w:color="CCCCCC" w:sz="1"/>
            </w:tcBorders>
            <w:shd w:fill="EEF2F8" w:val="clear"/>
            <w:tcMar>
              <w:top w:type="dxa" w:w="65"/>
              <w:left w:type="dxa" w:w="100"/>
              <w:bottom w:type="dxa" w:w="65"/>
              <w:right w:type="dxa" w:w="100"/>
            </w:tcMar>
          </w:tcPr>
          <w:p>
            <w:r>
              <w:rPr>
                <w:rFonts w:ascii="Arial" w:cs="Arial" w:eastAsia="Arial" w:hAnsi="Arial"/>
                <w:b/>
                <w:bCs/>
                <w:color w:val="1B3A6B"/>
                <w:sz w:val="19"/>
                <w:szCs w:val="19"/>
              </w:rPr>
              <w:t xml:space="preserve">Ethical reasoning under moral ambiguity</w:t>
            </w:r>
          </w:p>
        </w:tc>
        <w:tc>
          <w:tcPr>
            <w:tcW w:type="dxa" w:w="3600"/>
            <w:tcBorders>
              <w:top w:val="single" w:color="CCCCCC" w:sz="1"/>
              <w:left w:val="single" w:color="CCCCCC" w:sz="1"/>
              <w:bottom w:val="single" w:color="CCCCCC" w:sz="1"/>
              <w:right w:val="single" w:color="CCCCCC" w:sz="1"/>
            </w:tcBorders>
            <w:shd w:fill="E6F4F1" w:val="clear"/>
            <w:tcMar>
              <w:top w:type="dxa" w:w="65"/>
              <w:left w:type="dxa" w:w="100"/>
              <w:bottom w:type="dxa" w:w="65"/>
              <w:right w:type="dxa" w:w="100"/>
            </w:tcMar>
          </w:tcPr>
          <w:p>
            <w:r>
              <w:rPr>
                <w:rFonts w:ascii="Arial" w:cs="Arial" w:eastAsia="Arial" w:hAnsi="Arial"/>
                <w:b w:val="false"/>
                <w:bCs w:val="false"/>
                <w:color w:val="1A1A2E"/>
                <w:sz w:val="19"/>
                <w:szCs w:val="19"/>
              </w:rPr>
              <w:t xml:space="preserve">AI optimises for defined outcomes. Moral ambiguity requires the capacity to hold competing values simultaneously and choose without algorithmic resolution.</w:t>
            </w:r>
          </w:p>
        </w:tc>
        <w:tc>
          <w:tcPr>
            <w:tcW w:type="dxa" w:w="2520"/>
            <w:tcBorders>
              <w:top w:val="single" w:color="CCCCCC" w:sz="1"/>
              <w:left w:val="single" w:color="CCCCCC" w:sz="1"/>
              <w:bottom w:val="single" w:color="CCCCCC" w:sz="1"/>
              <w:right w:val="single" w:color="CCCCCC" w:sz="1"/>
            </w:tcBorders>
            <w:shd w:fill="E8F5EE" w:val="clear"/>
            <w:tcMar>
              <w:top w:type="dxa" w:w="65"/>
              <w:left w:type="dxa" w:w="100"/>
              <w:bottom w:type="dxa" w:w="65"/>
              <w:right w:type="dxa" w:w="100"/>
            </w:tcMar>
          </w:tcPr>
          <w:p>
            <w:r>
              <w:rPr>
                <w:rFonts w:ascii="Arial" w:cs="Arial" w:eastAsia="Arial" w:hAnsi="Arial"/>
                <w:b w:val="false"/>
                <w:bCs w:val="false"/>
                <w:color w:val="1A1A2E"/>
                <w:sz w:val="19"/>
                <w:szCs w:val="19"/>
              </w:rPr>
              <w:t xml:space="preserve">Moral Clarity, Concept Balance</w:t>
            </w:r>
          </w:p>
        </w:tc>
      </w:tr>
      <w:tr>
        <w:tc>
          <w:tcPr>
            <w:tcW w:type="dxa" w:w="3240"/>
            <w:tcBorders>
              <w:top w:val="single" w:color="CCCCCC" w:sz="1"/>
              <w:left w:val="single" w:color="CCCCCC" w:sz="1"/>
              <w:bottom w:val="single" w:color="CCCCCC" w:sz="1"/>
              <w:right w:val="single" w:color="CCCCCC" w:sz="1"/>
            </w:tcBorders>
            <w:shd w:fill="EEF2F8" w:val="clear"/>
            <w:tcMar>
              <w:top w:type="dxa" w:w="65"/>
              <w:left w:type="dxa" w:w="100"/>
              <w:bottom w:type="dxa" w:w="65"/>
              <w:right w:type="dxa" w:w="100"/>
            </w:tcMar>
          </w:tcPr>
          <w:p>
            <w:r>
              <w:rPr>
                <w:rFonts w:ascii="Arial" w:cs="Arial" w:eastAsia="Arial" w:hAnsi="Arial"/>
                <w:b/>
                <w:bCs/>
                <w:color w:val="1B3A6B"/>
                <w:sz w:val="19"/>
                <w:szCs w:val="19"/>
              </w:rPr>
              <w:t xml:space="preserve">Relational judgement under pressure</w:t>
            </w:r>
          </w:p>
        </w:tc>
        <w:tc>
          <w:tcPr>
            <w:tcW w:type="dxa" w:w="3600"/>
            <w:tcBorders>
              <w:top w:val="single" w:color="CCCCCC" w:sz="1"/>
              <w:left w:val="single" w:color="CCCCCC" w:sz="1"/>
              <w:bottom w:val="single" w:color="CCCCCC" w:sz="1"/>
              <w:right w:val="single" w:color="CCCCCC" w:sz="1"/>
            </w:tcBorders>
            <w:shd w:fill="E6F4F1" w:val="clear"/>
            <w:tcMar>
              <w:top w:type="dxa" w:w="65"/>
              <w:left w:type="dxa" w:w="100"/>
              <w:bottom w:type="dxa" w:w="65"/>
              <w:right w:type="dxa" w:w="100"/>
            </w:tcMar>
          </w:tcPr>
          <w:p>
            <w:r>
              <w:rPr>
                <w:rFonts w:ascii="Arial" w:cs="Arial" w:eastAsia="Arial" w:hAnsi="Arial"/>
                <w:b w:val="false"/>
                <w:bCs w:val="false"/>
                <w:color w:val="1A1A2E"/>
                <w:sz w:val="19"/>
                <w:szCs w:val="19"/>
              </w:rPr>
              <w:t xml:space="preserve">Trust is built through the accumulated experience of human interaction. AI can simulate relational language. It cannot build the trust that makes a team cohesive under genuine pressure.</w:t>
            </w:r>
          </w:p>
        </w:tc>
        <w:tc>
          <w:tcPr>
            <w:tcW w:type="dxa" w:w="2520"/>
            <w:tcBorders>
              <w:top w:val="single" w:color="CCCCCC" w:sz="1"/>
              <w:left w:val="single" w:color="CCCCCC" w:sz="1"/>
              <w:bottom w:val="single" w:color="CCCCCC" w:sz="1"/>
              <w:right w:val="single" w:color="CCCCCC" w:sz="1"/>
            </w:tcBorders>
            <w:shd w:fill="E8F5EE" w:val="clear"/>
            <w:tcMar>
              <w:top w:type="dxa" w:w="65"/>
              <w:left w:type="dxa" w:w="100"/>
              <w:bottom w:type="dxa" w:w="65"/>
              <w:right w:type="dxa" w:w="100"/>
            </w:tcMar>
          </w:tcPr>
          <w:p>
            <w:r>
              <w:rPr>
                <w:rFonts w:ascii="Arial" w:cs="Arial" w:eastAsia="Arial" w:hAnsi="Arial"/>
                <w:b w:val="false"/>
                <w:bCs w:val="false"/>
                <w:color w:val="1A1A2E"/>
                <w:sz w:val="19"/>
                <w:szCs w:val="19"/>
              </w:rPr>
              <w:t xml:space="preserve">Relational Insight, Assertiveness, Empathy</w:t>
            </w:r>
          </w:p>
        </w:tc>
      </w:tr>
      <w:tr>
        <w:tc>
          <w:tcPr>
            <w:tcW w:type="dxa" w:w="3240"/>
            <w:tcBorders>
              <w:top w:val="single" w:color="CCCCCC" w:sz="1"/>
              <w:left w:val="single" w:color="CCCCCC" w:sz="1"/>
              <w:bottom w:val="single" w:color="CCCCCC" w:sz="1"/>
              <w:right w:val="single" w:color="CCCCCC" w:sz="1"/>
            </w:tcBorders>
            <w:shd w:fill="EEF2F8" w:val="clear"/>
            <w:tcMar>
              <w:top w:type="dxa" w:w="65"/>
              <w:left w:type="dxa" w:w="100"/>
              <w:bottom w:type="dxa" w:w="65"/>
              <w:right w:type="dxa" w:w="100"/>
            </w:tcMar>
          </w:tcPr>
          <w:p>
            <w:r>
              <w:rPr>
                <w:rFonts w:ascii="Arial" w:cs="Arial" w:eastAsia="Arial" w:hAnsi="Arial"/>
                <w:b/>
                <w:bCs/>
                <w:color w:val="1B3A6B"/>
                <w:sz w:val="19"/>
                <w:szCs w:val="19"/>
              </w:rPr>
              <w:t xml:space="preserve">Self-regulatory capacity under stress</w:t>
            </w:r>
          </w:p>
        </w:tc>
        <w:tc>
          <w:tcPr>
            <w:tcW w:type="dxa" w:w="3600"/>
            <w:tcBorders>
              <w:top w:val="single" w:color="CCCCCC" w:sz="1"/>
              <w:left w:val="single" w:color="CCCCCC" w:sz="1"/>
              <w:bottom w:val="single" w:color="CCCCCC" w:sz="1"/>
              <w:right w:val="single" w:color="CCCCCC" w:sz="1"/>
            </w:tcBorders>
            <w:shd w:fill="E6F4F1" w:val="clear"/>
            <w:tcMar>
              <w:top w:type="dxa" w:w="65"/>
              <w:left w:type="dxa" w:w="100"/>
              <w:bottom w:type="dxa" w:w="65"/>
              <w:right w:type="dxa" w:w="100"/>
            </w:tcMar>
          </w:tcPr>
          <w:p>
            <w:r>
              <w:rPr>
                <w:rFonts w:ascii="Arial" w:cs="Arial" w:eastAsia="Arial" w:hAnsi="Arial"/>
                <w:b w:val="false"/>
                <w:bCs w:val="false"/>
                <w:color w:val="1A1A2E"/>
                <w:sz w:val="19"/>
                <w:szCs w:val="19"/>
              </w:rPr>
              <w:t xml:space="preserve">Emotional regulation under pressure is a product of the individual’s values structure and coping capacity - the architecture of who they are, not what they know.</w:t>
            </w:r>
          </w:p>
        </w:tc>
        <w:tc>
          <w:tcPr>
            <w:tcW w:type="dxa" w:w="2520"/>
            <w:tcBorders>
              <w:top w:val="single" w:color="CCCCCC" w:sz="1"/>
              <w:left w:val="single" w:color="CCCCCC" w:sz="1"/>
              <w:bottom w:val="single" w:color="CCCCCC" w:sz="1"/>
              <w:right w:val="single" w:color="CCCCCC" w:sz="1"/>
            </w:tcBorders>
            <w:shd w:fill="E8F5EE" w:val="clear"/>
            <w:tcMar>
              <w:top w:type="dxa" w:w="65"/>
              <w:left w:type="dxa" w:w="100"/>
              <w:bottom w:type="dxa" w:w="65"/>
              <w:right w:type="dxa" w:w="100"/>
            </w:tcMar>
          </w:tcPr>
          <w:p>
            <w:r>
              <w:rPr>
                <w:rFonts w:ascii="Arial" w:cs="Arial" w:eastAsia="Arial" w:hAnsi="Arial"/>
                <w:b w:val="false"/>
                <w:bCs w:val="false"/>
                <w:color w:val="1A1A2E"/>
                <w:sz w:val="19"/>
                <w:szCs w:val="19"/>
              </w:rPr>
              <w:t xml:space="preserve">Self-Care, Stress &amp; Coping, Self-Criticism</w:t>
            </w:r>
          </w:p>
        </w:tc>
      </w:tr>
      <w:tr>
        <w:tc>
          <w:tcPr>
            <w:tcW w:type="dxa" w:w="3240"/>
            <w:tcBorders>
              <w:top w:val="single" w:color="CCCCCC" w:sz="1"/>
              <w:left w:val="single" w:color="CCCCCC" w:sz="1"/>
              <w:bottom w:val="single" w:color="CCCCCC" w:sz="1"/>
              <w:right w:val="single" w:color="CCCCCC" w:sz="1"/>
            </w:tcBorders>
            <w:shd w:fill="EEF2F8" w:val="clear"/>
            <w:tcMar>
              <w:top w:type="dxa" w:w="65"/>
              <w:left w:type="dxa" w:w="100"/>
              <w:bottom w:type="dxa" w:w="65"/>
              <w:right w:type="dxa" w:w="100"/>
            </w:tcMar>
          </w:tcPr>
          <w:p>
            <w:r>
              <w:rPr>
                <w:rFonts w:ascii="Arial" w:cs="Arial" w:eastAsia="Arial" w:hAnsi="Arial"/>
                <w:b/>
                <w:bCs/>
                <w:color w:val="1B3A6B"/>
                <w:sz w:val="19"/>
                <w:szCs w:val="19"/>
              </w:rPr>
              <w:t xml:space="preserve">Values stability under organisational pressure</w:t>
            </w:r>
          </w:p>
        </w:tc>
        <w:tc>
          <w:tcPr>
            <w:tcW w:type="dxa" w:w="3600"/>
            <w:tcBorders>
              <w:top w:val="single" w:color="CCCCCC" w:sz="1"/>
              <w:left w:val="single" w:color="CCCCCC" w:sz="1"/>
              <w:bottom w:val="single" w:color="CCCCCC" w:sz="1"/>
              <w:right w:val="single" w:color="CCCCCC" w:sz="1"/>
            </w:tcBorders>
            <w:shd w:fill="E6F4F1" w:val="clear"/>
            <w:tcMar>
              <w:top w:type="dxa" w:w="65"/>
              <w:left w:type="dxa" w:w="100"/>
              <w:bottom w:type="dxa" w:w="65"/>
              <w:right w:type="dxa" w:w="100"/>
            </w:tcMar>
          </w:tcPr>
          <w:p>
            <w:r>
              <w:rPr>
                <w:rFonts w:ascii="Arial" w:cs="Arial" w:eastAsia="Arial" w:hAnsi="Arial"/>
                <w:b w:val="false"/>
                <w:bCs w:val="false"/>
                <w:color w:val="1A1A2E"/>
                <w:sz w:val="19"/>
                <w:szCs w:val="19"/>
              </w:rPr>
              <w:t xml:space="preserve">When an organisation’s values are tested - by financial pressure, competitive threat, regulatory scrutiny - the response is determined by the values structure of its leaders. AI does not have a values structure.</w:t>
            </w:r>
          </w:p>
        </w:tc>
        <w:tc>
          <w:tcPr>
            <w:tcW w:type="dxa" w:w="2520"/>
            <w:tcBorders>
              <w:top w:val="single" w:color="CCCCCC" w:sz="1"/>
              <w:left w:val="single" w:color="CCCCCC" w:sz="1"/>
              <w:bottom w:val="single" w:color="CCCCCC" w:sz="1"/>
              <w:right w:val="single" w:color="CCCCCC" w:sz="1"/>
            </w:tcBorders>
            <w:shd w:fill="E8F5EE" w:val="clear"/>
            <w:tcMar>
              <w:top w:type="dxa" w:w="65"/>
              <w:left w:type="dxa" w:w="100"/>
              <w:bottom w:type="dxa" w:w="65"/>
              <w:right w:type="dxa" w:w="100"/>
            </w:tcMar>
          </w:tcPr>
          <w:p>
            <w:r>
              <w:rPr>
                <w:rFonts w:ascii="Arial" w:cs="Arial" w:eastAsia="Arial" w:hAnsi="Arial"/>
                <w:b w:val="false"/>
                <w:bCs w:val="false"/>
                <w:color w:val="1A1A2E"/>
                <w:sz w:val="19"/>
                <w:szCs w:val="19"/>
              </w:rPr>
              <w:t xml:space="preserve">Concept Balance, Role Identity, Moral Clarity</w:t>
            </w:r>
          </w:p>
        </w:tc>
      </w:tr>
      <w:tr>
        <w:tc>
          <w:tcPr>
            <w:tcW w:type="dxa" w:w="3240"/>
            <w:tcBorders>
              <w:top w:val="single" w:color="CCCCCC" w:sz="1"/>
              <w:left w:val="single" w:color="CCCCCC" w:sz="1"/>
              <w:bottom w:val="single" w:color="CCCCCC" w:sz="1"/>
              <w:right w:val="single" w:color="CCCCCC" w:sz="1"/>
            </w:tcBorders>
            <w:shd w:fill="EEF2F8" w:val="clear"/>
            <w:tcMar>
              <w:top w:type="dxa" w:w="65"/>
              <w:left w:type="dxa" w:w="100"/>
              <w:bottom w:type="dxa" w:w="65"/>
              <w:right w:type="dxa" w:w="100"/>
            </w:tcMar>
          </w:tcPr>
          <w:p>
            <w:r>
              <w:rPr>
                <w:rFonts w:ascii="Arial" w:cs="Arial" w:eastAsia="Arial" w:hAnsi="Arial"/>
                <w:b/>
                <w:bCs/>
                <w:color w:val="1B3A6B"/>
                <w:sz w:val="19"/>
                <w:szCs w:val="19"/>
              </w:rPr>
              <w:t xml:space="preserve">Judgement in genuinely novel situations</w:t>
            </w:r>
          </w:p>
        </w:tc>
        <w:tc>
          <w:tcPr>
            <w:tcW w:type="dxa" w:w="3600"/>
            <w:tcBorders>
              <w:top w:val="single" w:color="CCCCCC" w:sz="1"/>
              <w:left w:val="single" w:color="CCCCCC" w:sz="1"/>
              <w:bottom w:val="single" w:color="CCCCCC" w:sz="1"/>
              <w:right w:val="single" w:color="CCCCCC" w:sz="1"/>
            </w:tcBorders>
            <w:shd w:fill="E6F4F1" w:val="clear"/>
            <w:tcMar>
              <w:top w:type="dxa" w:w="65"/>
              <w:left w:type="dxa" w:w="100"/>
              <w:bottom w:type="dxa" w:w="65"/>
              <w:right w:type="dxa" w:w="100"/>
            </w:tcMar>
          </w:tcPr>
          <w:p>
            <w:r>
              <w:rPr>
                <w:rFonts w:ascii="Arial" w:cs="Arial" w:eastAsia="Arial" w:hAnsi="Arial"/>
                <w:b w:val="false"/>
                <w:bCs w:val="false"/>
                <w:color w:val="1A1A2E"/>
                <w:sz w:val="19"/>
                <w:szCs w:val="19"/>
              </w:rPr>
              <w:t xml:space="preserve">AI predicts based on patterns in existing data. Genuinely novel situations - the crisis that has no precedent, the strategic choice with no comparable case - require first-principles human judgement.</w:t>
            </w:r>
          </w:p>
        </w:tc>
        <w:tc>
          <w:tcPr>
            <w:tcW w:type="dxa" w:w="2520"/>
            <w:tcBorders>
              <w:top w:val="single" w:color="CCCCCC" w:sz="1"/>
              <w:left w:val="single" w:color="CCCCCC" w:sz="1"/>
              <w:bottom w:val="single" w:color="CCCCCC" w:sz="1"/>
              <w:right w:val="single" w:color="CCCCCC" w:sz="1"/>
            </w:tcBorders>
            <w:shd w:fill="E8F5EE" w:val="clear"/>
            <w:tcMar>
              <w:top w:type="dxa" w:w="65"/>
              <w:left w:type="dxa" w:w="100"/>
              <w:bottom w:type="dxa" w:w="65"/>
              <w:right w:type="dxa" w:w="100"/>
            </w:tcMar>
          </w:tcPr>
          <w:p>
            <w:r>
              <w:rPr>
                <w:rFonts w:ascii="Arial" w:cs="Arial" w:eastAsia="Arial" w:hAnsi="Arial"/>
                <w:b w:val="false"/>
                <w:bCs w:val="false"/>
                <w:color w:val="1A1A2E"/>
                <w:sz w:val="19"/>
                <w:szCs w:val="19"/>
              </w:rPr>
              <w:t xml:space="preserve">Big Picture Insight, Conceptual Clarity, Strategic Capacity</w:t>
            </w:r>
          </w:p>
        </w:tc>
      </w:tr>
    </w:tbl>
    <w:p>
      <w:pPr>
        <w:spacing w:after="0" w:before="70"/>
      </w:pPr>
    </w:p>
    <w:p>
      <w:pPr>
        <w:pStyle w:val="Heading2"/>
        <w:keepNext/>
        <w:spacing w:after="90" w:before="240"/>
      </w:pPr>
      <w:r>
        <w:rPr>
          <w:rFonts w:ascii="Arial" w:cs="Arial" w:eastAsia="Arial" w:hAnsi="Arial"/>
          <w:b/>
          <w:bCs/>
          <w:color w:val="50288A"/>
          <w:sz w:val="26"/>
          <w:szCs w:val="26"/>
        </w:rPr>
        <w:t xml:space="preserve">The AI-JI Intersection: What Forward-Looking Organisations Are Doing</w:t>
      </w:r>
    </w:p>
    <w:p>
      <w:pPr>
        <w:spacing w:after="65" w:before="65"/>
      </w:pPr>
      <w:r>
        <w:rPr>
          <w:rFonts w:ascii="Arial" w:cs="Arial" w:eastAsia="Arial" w:hAnsi="Arial"/>
          <w:b w:val="false"/>
          <w:bCs w:val="false"/>
          <w:i w:val="false"/>
          <w:iCs w:val="false"/>
          <w:color w:val="1A1A2E"/>
          <w:sz w:val="22"/>
          <w:szCs w:val="22"/>
        </w:rPr>
        <w:t xml:space="preserve">The most strategically sophisticated Australian organisations are already responding to this insight. They are not asking which AI tools to adopt. They are asking: given that AI will handle more cognitive work, which people have the human judgement quality to work effectively alongside AI - and which will be overwhelmed, displaced or misaligned?</w:t>
      </w:r>
    </w:p>
    <w:p>
      <w:pPr>
        <w:spacing w:after="0" w:before="55"/>
      </w:pPr>
    </w:p>
    <w:p>
      <w:pPr>
        <w:spacing w:after="65" w:before="65"/>
      </w:pPr>
      <w:r>
        <w:rPr>
          <w:rFonts w:ascii="Arial" w:cs="Arial" w:eastAsia="Arial" w:hAnsi="Arial"/>
          <w:b w:val="false"/>
          <w:bCs w:val="false"/>
          <w:i w:val="false"/>
          <w:iCs w:val="false"/>
          <w:color w:val="1A1A2E"/>
          <w:sz w:val="22"/>
          <w:szCs w:val="22"/>
        </w:rPr>
        <w:t xml:space="preserve">This is a first-principles question. It requires first-principles measurement.</w:t>
      </w:r>
    </w:p>
    <w:p>
      <w:pPr>
        <w:spacing w:after="0" w:before="55"/>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0EBF9" w:val="clear"/>
            <w:tcMar>
              <w:top w:type="dxa" w:w="140"/>
              <w:left w:type="dxa" w:w="180"/>
              <w:bottom w:type="dxa" w:w="140"/>
              <w:right w:type="dxa" w:w="180"/>
            </w:tcMar>
          </w:tcPr>
          <w:p>
            <w:pPr>
              <w:spacing w:after="80" w:before="0"/>
            </w:pPr>
            <w:r>
              <w:rPr>
                <w:rFonts w:ascii="Arial" w:cs="Arial" w:eastAsia="Arial" w:hAnsi="Arial"/>
                <w:b/>
                <w:bCs/>
                <w:color w:val="50288A"/>
                <w:sz w:val="22"/>
                <w:szCs w:val="22"/>
              </w:rPr>
              <w:t xml:space="preserve">How JI supports AI-era workforce strategy</w:t>
            </w:r>
          </w:p>
          <w:p>
            <w:pPr>
              <w:pStyle w:val="ListParagraph"/>
              <w:keepLines/>
              <w:numPr>
                <w:ilvl w:val="0"/>
                <w:numId w:val="2"/>
              </w:numPr>
              <w:spacing w:after="44" w:before="44"/>
            </w:pPr>
            <w:r>
              <w:rPr>
                <w:rFonts w:ascii="Arial" w:cs="Arial" w:eastAsia="Arial" w:hAnsi="Arial"/>
                <w:color w:val="1A1A2E"/>
                <w:sz w:val="21"/>
                <w:szCs w:val="21"/>
              </w:rPr>
              <w:t xml:space="preserve">Identifies which leaders have the Concept Balance and strategic clarity to navigate AI-driven organisational change without values drift</w:t>
            </w:r>
          </w:p>
          <w:p>
            <w:pPr>
              <w:pStyle w:val="ListParagraph"/>
              <w:keepLines/>
              <w:numPr>
                <w:ilvl w:val="0"/>
                <w:numId w:val="2"/>
              </w:numPr>
              <w:spacing w:after="44" w:before="44"/>
            </w:pPr>
            <w:r>
              <w:rPr>
                <w:rFonts w:ascii="Arial" w:cs="Arial" w:eastAsia="Arial" w:hAnsi="Arial"/>
                <w:color w:val="1A1A2E"/>
                <w:sz w:val="21"/>
                <w:szCs w:val="21"/>
              </w:rPr>
              <w:t xml:space="preserve">Maps the human judgement capabilities that need to be developed as AI takes on more cognitive tasks - the investment roadmap for irreplaceable human capacity</w:t>
            </w:r>
          </w:p>
          <w:p>
            <w:pPr>
              <w:pStyle w:val="ListParagraph"/>
              <w:keepLines/>
              <w:numPr>
                <w:ilvl w:val="0"/>
                <w:numId w:val="2"/>
              </w:numPr>
              <w:spacing w:after="44" w:before="44"/>
            </w:pPr>
            <w:r>
              <w:rPr>
                <w:rFonts w:ascii="Arial" w:cs="Arial" w:eastAsia="Arial" w:hAnsi="Arial"/>
                <w:color w:val="1A1A2E"/>
                <w:sz w:val="21"/>
                <w:szCs w:val="21"/>
              </w:rPr>
              <w:t xml:space="preserve">Provides the ethical oversight data that boards need as AI decision-making enters governance-sensitive domains</w:t>
            </w:r>
          </w:p>
          <w:p>
            <w:pPr>
              <w:pStyle w:val="ListParagraph"/>
              <w:keepLines/>
              <w:numPr>
                <w:ilvl w:val="0"/>
                <w:numId w:val="2"/>
              </w:numPr>
              <w:spacing w:after="44" w:before="44"/>
            </w:pPr>
            <w:r>
              <w:rPr>
                <w:rFonts w:ascii="Arial" w:cs="Arial" w:eastAsia="Arial" w:hAnsi="Arial"/>
                <w:color w:val="1A1A2E"/>
                <w:sz w:val="21"/>
                <w:szCs w:val="21"/>
              </w:rPr>
              <w:t xml:space="preserve">Assesses reskilling readiness - which employees have the value structure to adapt to AI-augmented roles and which will require different support</w:t>
            </w:r>
          </w:p>
          <w:p>
            <w:pPr>
              <w:pStyle w:val="ListParagraph"/>
              <w:keepLines/>
              <w:numPr>
                <w:ilvl w:val="0"/>
                <w:numId w:val="2"/>
              </w:numPr>
              <w:spacing w:after="44" w:before="44"/>
            </w:pPr>
            <w:r>
              <w:rPr>
                <w:rFonts w:ascii="Arial" w:cs="Arial" w:eastAsia="Arial" w:hAnsi="Arial"/>
                <w:color w:val="1A1A2E"/>
                <w:sz w:val="21"/>
                <w:szCs w:val="21"/>
              </w:rPr>
              <w:t xml:space="preserve">Protects the trust and relational intelligence that AI-driven organisations need more of, not less - because AI amplifies output but cannot build the human trust that makes that output worth following</w:t>
            </w:r>
          </w:p>
        </w:tc>
      </w:tr>
    </w:tbl>
    <w:p>
      <w:pPr>
        <w:spacing w:after="0" w:before="55"/>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
        <w:gridCol w:w="9200"/>
      </w:tblGrid>
      <w:tr>
        <w:tc>
          <w:tcPr>
            <w:tcW w:type="dxa" w:w="160"/>
            <w:tcBorders>
              <w:top w:val="none" w:color="FFFFFF" w:sz="0"/>
              <w:left w:val="none" w:color="FFFFFF" w:sz="0"/>
              <w:bottom w:val="none" w:color="FFFFFF" w:sz="0"/>
              <w:right w:val="none" w:color="FFFFFF" w:sz="0"/>
            </w:tcBorders>
            <w:shd w:fill="1B3A6B" w:val="clear"/>
          </w:tcPr>
          <w:p/>
        </w:tc>
        <w:tc>
          <w:tcPr>
            <w:tcW w:type="dxa" w:w="9200"/>
            <w:tcBorders>
              <w:top w:val="none" w:color="FFFFFF" w:sz="0"/>
              <w:left w:val="none" w:color="FFFFFF" w:sz="0"/>
              <w:bottom w:val="none" w:color="FFFFFF" w:sz="0"/>
              <w:right w:val="none" w:color="FFFFFF" w:sz="0"/>
            </w:tcBorders>
            <w:shd w:fill="EEF2F8" w:val="clear"/>
            <w:tcMar>
              <w:top w:type="dxa" w:w="140"/>
              <w:left w:type="dxa" w:w="200"/>
              <w:bottom w:type="dxa" w:w="140"/>
              <w:right w:type="dxa" w:w="160"/>
            </w:tcMar>
          </w:tcPr>
          <w:p>
            <w:pPr>
              <w:spacing w:after="70" w:before="0"/>
            </w:pPr>
            <w:r>
              <w:rPr>
                <w:rFonts w:ascii="Arial" w:cs="Arial" w:eastAsia="Arial" w:hAnsi="Arial"/>
                <w:i/>
                <w:iCs/>
                <w:color w:val="1A1A2E"/>
                <w:sz w:val="23"/>
                <w:szCs w:val="23"/>
              </w:rPr>
              <w:t xml:space="preserve">“As AI takes over routine cognitive tasks, the premium on uniquely human capabilities - ethical reasoning, relational judgement, decision-making under moral ambiguity - will not decrease. It will increase dramatically. The organisations that understand this first will build the human intelligence advantage that AI cannot commoditise.”</w:t>
            </w:r>
          </w:p>
          <w:p>
            <w:r>
              <w:rPr>
                <w:rFonts w:ascii="Arial" w:cs="Arial" w:eastAsia="Arial" w:hAnsi="Arial"/>
                <w:b/>
                <w:bCs/>
                <w:color w:val="1B3A6B"/>
                <w:sz w:val="20"/>
                <w:szCs w:val="20"/>
              </w:rPr>
              <w:t xml:space="preserve">— World Economic Forum, Future of Jobs Report, 2025</w:t>
            </w:r>
          </w:p>
        </w:tc>
      </w:tr>
    </w:tbl>
    <w:p>
      <w:pPr>
        <w:spacing w:after="0" w:before="7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EF2F8" w:val="clear"/>
            <w:tcMar>
              <w:top w:type="dxa" w:w="140"/>
              <w:left w:type="dxa" w:w="180"/>
              <w:bottom w:type="dxa" w:w="140"/>
              <w:right w:type="dxa" w:w="180"/>
            </w:tcMar>
          </w:tcPr>
          <w:p>
            <w:pPr>
              <w:spacing w:after="80" w:before="0"/>
            </w:pPr>
            <w:r>
              <w:rPr>
                <w:rFonts w:ascii="Arial" w:cs="Arial" w:eastAsia="Arial" w:hAnsi="Arial"/>
                <w:b/>
                <w:bCs/>
                <w:color w:val="28374F"/>
                <w:sz w:val="22"/>
                <w:szCs w:val="22"/>
              </w:rPr>
              <w:t xml:space="preserve">Key References — White Paper 10</w:t>
            </w:r>
          </w:p>
          <w:p>
            <w:pPr>
              <w:pStyle w:val="ListParagraph"/>
              <w:keepLines/>
              <w:numPr>
                <w:ilvl w:val="0"/>
                <w:numId w:val="2"/>
              </w:numPr>
              <w:spacing w:after="44" w:before="44"/>
            </w:pPr>
            <w:r>
              <w:rPr>
                <w:rFonts w:ascii="Arial" w:cs="Arial" w:eastAsia="Arial" w:hAnsi="Arial"/>
                <w:color w:val="1A1A2E"/>
                <w:sz w:val="21"/>
                <w:szCs w:val="21"/>
              </w:rPr>
              <w:t xml:space="preserve">World Economic Forum (2025). Future of Jobs Report 2025. weforum.org</w:t>
            </w:r>
          </w:p>
          <w:p>
            <w:pPr>
              <w:pStyle w:val="ListParagraph"/>
              <w:keepLines/>
              <w:numPr>
                <w:ilvl w:val="0"/>
                <w:numId w:val="2"/>
              </w:numPr>
              <w:spacing w:after="44" w:before="44"/>
            </w:pPr>
            <w:r>
              <w:rPr>
                <w:rFonts w:ascii="Arial" w:cs="Arial" w:eastAsia="Arial" w:hAnsi="Arial"/>
                <w:color w:val="1A1A2E"/>
                <w:sz w:val="21"/>
                <w:szCs w:val="21"/>
              </w:rPr>
              <w:t xml:space="preserve">World Economic Forum (2025). Educating a Future Workforce. weforum.org</w:t>
            </w:r>
          </w:p>
          <w:p>
            <w:pPr>
              <w:pStyle w:val="ListParagraph"/>
              <w:keepLines/>
              <w:numPr>
                <w:ilvl w:val="0"/>
                <w:numId w:val="2"/>
              </w:numPr>
              <w:spacing w:after="44" w:before="44"/>
            </w:pPr>
            <w:r>
              <w:rPr>
                <w:rFonts w:ascii="Arial" w:cs="Arial" w:eastAsia="Arial" w:hAnsi="Arial"/>
                <w:color w:val="1A1A2E"/>
                <w:sz w:val="21"/>
                <w:szCs w:val="21"/>
              </w:rPr>
              <w:t xml:space="preserve">World Economic Forum (2025). The New Skills Triad. weforum.org</w:t>
            </w:r>
          </w:p>
          <w:p>
            <w:pPr>
              <w:pStyle w:val="ListParagraph"/>
              <w:keepLines/>
              <w:numPr>
                <w:ilvl w:val="0"/>
                <w:numId w:val="2"/>
              </w:numPr>
              <w:spacing w:after="44" w:before="44"/>
            </w:pPr>
            <w:r>
              <w:rPr>
                <w:rFonts w:ascii="Arial" w:cs="Arial" w:eastAsia="Arial" w:hAnsi="Arial"/>
                <w:color w:val="1A1A2E"/>
                <w:sz w:val="21"/>
                <w:szCs w:val="21"/>
              </w:rPr>
              <w:t xml:space="preserve">McKinsey &amp; Company (2025). AI in the Workplace. mckinsey.com</w:t>
            </w:r>
          </w:p>
          <w:p>
            <w:pPr>
              <w:pStyle w:val="ListParagraph"/>
              <w:keepLines/>
              <w:numPr>
                <w:ilvl w:val="0"/>
                <w:numId w:val="2"/>
              </w:numPr>
              <w:spacing w:after="44" w:before="44"/>
            </w:pPr>
            <w:r>
              <w:rPr>
                <w:rFonts w:ascii="Arial" w:cs="Arial" w:eastAsia="Arial" w:hAnsi="Arial"/>
                <w:color w:val="1A1A2E"/>
                <w:sz w:val="21"/>
                <w:szCs w:val="21"/>
              </w:rPr>
              <w:t xml:space="preserve">Weinkauf, M. (2024). Mental Drivers of Leadership Behaviors. Journal of Formal Axiology.</w:t>
            </w:r>
          </w:p>
          <w:p>
            <w:pPr>
              <w:pStyle w:val="ListParagraph"/>
              <w:keepLines/>
              <w:numPr>
                <w:ilvl w:val="0"/>
                <w:numId w:val="2"/>
              </w:numPr>
              <w:spacing w:after="44" w:before="44"/>
            </w:pPr>
            <w:r>
              <w:rPr>
                <w:rFonts w:ascii="Arial" w:cs="Arial" w:eastAsia="Arial" w:hAnsi="Arial"/>
                <w:color w:val="1A1A2E"/>
                <w:sz w:val="21"/>
                <w:szCs w:val="21"/>
              </w:rPr>
              <w:t xml:space="preserve">Dunbar, E. &amp; North, M. (2024). Leadership Ethics of Elected Officials. Journal of Formal Axiology.</w:t>
            </w:r>
          </w:p>
          <w:p>
            <w:pPr>
              <w:pStyle w:val="ListParagraph"/>
              <w:keepLines/>
              <w:numPr>
                <w:ilvl w:val="0"/>
                <w:numId w:val="2"/>
              </w:numPr>
              <w:spacing w:after="44" w:before="44"/>
            </w:pPr>
            <w:r>
              <w:rPr>
                <w:rFonts w:ascii="Arial" w:cs="Arial" w:eastAsia="Arial" w:hAnsi="Arial"/>
                <w:color w:val="1A1A2E"/>
                <w:sz w:val="21"/>
                <w:szCs w:val="21"/>
              </w:rPr>
              <w:t xml:space="preserve">Maslach, C. &amp; Leiter, M.P. (2022). The Burnout Challenge. Harvard University Press.</w:t>
            </w:r>
          </w:p>
          <w:p>
            <w:pPr>
              <w:pStyle w:val="ListParagraph"/>
              <w:keepLines/>
              <w:numPr>
                <w:ilvl w:val="0"/>
                <w:numId w:val="2"/>
              </w:numPr>
              <w:spacing w:after="44" w:before="44"/>
            </w:pPr>
            <w:r>
              <w:rPr>
                <w:rFonts w:ascii="Arial" w:cs="Arial" w:eastAsia="Arial" w:hAnsi="Arial"/>
                <w:color w:val="1A1A2E"/>
                <w:sz w:val="21"/>
                <w:szCs w:val="21"/>
              </w:rPr>
              <w:t xml:space="preserve">AHRI (2025). Quarterly Australian Work Outlook, September 2025. ahri.com.au</w:t>
            </w:r>
          </w:p>
        </w:tc>
      </w:tr>
    </w:tbl>
    <w:p>
      <w:pPr>
        <w:spacing w:after="0" w:before="55"/>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D7A6B" w:sz="1"/>
              <w:left w:val="single" w:color="0D7A6B" w:sz="1"/>
              <w:bottom w:val="single" w:color="0D7A6B" w:sz="1"/>
              <w:right w:val="single" w:color="0D7A6B" w:sz="1"/>
            </w:tcBorders>
            <w:shd w:fill="E6F4F1" w:val="clear"/>
            <w:tcMar>
              <w:top w:type="dxa" w:w="160"/>
              <w:left w:type="dxa" w:w="200"/>
              <w:bottom w:type="dxa" w:w="160"/>
              <w:right w:type="dxa" w:w="200"/>
            </w:tcMar>
          </w:tcPr>
          <w:p>
            <w:pPr>
              <w:spacing w:after="60" w:before="0"/>
            </w:pPr>
            <w:r>
              <w:rPr>
                <w:rFonts w:ascii="Arial" w:cs="Arial" w:eastAsia="Arial" w:hAnsi="Arial"/>
                <w:b/>
                <w:bCs/>
                <w:color w:val="0D7A6B"/>
                <w:sz w:val="22"/>
                <w:szCs w:val="22"/>
              </w:rPr>
              <w:t xml:space="preserve">What to do next</w:t>
            </w:r>
          </w:p>
          <w:p>
            <w:pPr>
              <w:spacing w:after="50" w:before="0"/>
            </w:pPr>
            <w:r>
              <w:rPr>
                <w:rFonts w:ascii="Arial" w:cs="Arial" w:eastAsia="Arial" w:hAnsi="Arial"/>
                <w:color w:val="1A1A2E"/>
                <w:sz w:val="22"/>
                <w:szCs w:val="22"/>
              </w:rPr>
              <w:t xml:space="preserve">If your organisation is navigating AI adoption and you want to understand which human judgement capabilities to develop and protect, a JIAU AI and Human Intelligence briefing will show you exactly which JI dimensions are most strategically important in an AI-augmented workplace.</w:t>
            </w:r>
          </w:p>
          <w:p>
            <w:pPr>
              <w:spacing w:after="50" w:before="0"/>
            </w:pPr>
            <w:r>
              <w:rPr>
                <w:rFonts w:ascii="Arial" w:cs="Arial" w:eastAsia="Arial" w:hAnsi="Arial"/>
                <w:b/>
                <w:bCs/>
                <w:color w:val="0D7A6B"/>
                <w:sz w:val="22"/>
                <w:szCs w:val="22"/>
              </w:rPr>
              <w:t xml:space="preserve">Book an AI &amp; Human Intelligence Briefing: jiau.com.au/book</w:t>
            </w:r>
          </w:p>
          <w:p>
            <w:pPr>
              <w:spacing w:after="0" w:before="0"/>
            </w:pPr>
            <w:r>
              <w:rPr>
                <w:rFonts w:ascii="Arial" w:cs="Arial" w:eastAsia="Arial" w:hAnsi="Arial"/>
                <w:i/>
                <w:iCs/>
                <w:color w:val="4A5568"/>
                <w:sz w:val="20"/>
                <w:szCs w:val="20"/>
              </w:rPr>
              <w:t xml:space="preserve">Book at: jiau.com.au  ·  Or call: 1300 677 572  ·  Or email: info@jiau.com.au</w:t>
            </w:r>
          </w:p>
        </w:tc>
      </w:tr>
    </w:tbl>
    <w:p>
      <w:pPr>
        <w:spacing w:after="0" w:before="80"/>
      </w:pPr>
    </w:p>
    <w:p>
      <w:pPr>
        <w:pBdr>
          <w:bottom w:val="single" w:color="0D7A6B" w:sz="6" w:space="1"/>
        </w:pBdr>
        <w:spacing w:after="160" w:before="160"/>
      </w:pPr>
    </w:p>
    <w:p>
      <w:pPr>
        <w:spacing w:after="0" w:before="55"/>
      </w:pPr>
    </w:p>
    <w:p>
      <w:pPr>
        <w:spacing w:after="28" w:before="0"/>
        <w:jc w:val="center"/>
      </w:pPr>
      <w:r>
        <w:rPr>
          <w:rFonts w:ascii="Arial" w:cs="Arial" w:eastAsia="Arial" w:hAnsi="Arial"/>
          <w:b/>
          <w:bCs/>
          <w:color w:val="1B3A6B"/>
          <w:sz w:val="22"/>
          <w:szCs w:val="22"/>
        </w:rPr>
        <w:t xml:space="preserve">JIAU White Paper Series - Human-Centric Judgement Intelligence™</w:t>
      </w:r>
    </w:p>
    <w:p>
      <w:pPr>
        <w:spacing w:after="28" w:before="0"/>
        <w:jc w:val="center"/>
      </w:pPr>
      <w:r>
        <w:rPr>
          <w:rFonts w:ascii="Arial" w:cs="Arial" w:eastAsia="Arial" w:hAnsi="Arial"/>
          <w:i/>
          <w:iCs/>
          <w:color w:val="0D7A6B"/>
          <w:sz w:val="20"/>
          <w:szCs w:val="20"/>
        </w:rPr>
        <w:t xml:space="preserve">Ten papers. One instrument. The first-principles intelligence that predicts what other tools cannot.</w:t>
      </w:r>
    </w:p>
    <w:p>
      <w:pPr>
        <w:spacing w:after="14" w:before="0"/>
        <w:jc w:val="center"/>
      </w:pPr>
      <w:r>
        <w:rPr>
          <w:rFonts w:ascii="Arial" w:cs="Arial" w:eastAsia="Arial" w:hAnsi="Arial"/>
          <w:color w:val="4A5568"/>
          <w:sz w:val="19"/>
          <w:szCs w:val="19"/>
        </w:rPr>
        <w:t xml:space="preserve">jiau.com.au  ·  1300 677 572  ·  info@jiau.com.au</w:t>
      </w:r>
    </w:p>
    <w:p>
      <w:pPr>
        <w:jc w:val="center"/>
      </w:pPr>
      <w:r>
        <w:rPr>
          <w:rFonts w:ascii="Arial" w:cs="Arial" w:eastAsia="Arial" w:hAnsi="Arial"/>
          <w:i/>
          <w:iCs/>
          <w:color w:val="0D7A6B"/>
          <w:sz w:val="18"/>
          <w:szCs w:val="18"/>
        </w:rPr>
        <w:t xml:space="preserve">Clive Elliott, International Account Manager  ·  Jacqueline Lane, Executive Director  ·  © JIAU 2026</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6"/>
      </w:pBdr>
    </w:pPr>
    <w:r>
      <w:rPr>
        <w:rFonts w:ascii="Arial" w:cs="Arial" w:eastAsia="Arial" w:hAnsi="Arial"/>
        <w:color w:val="4A5568"/>
        <w:sz w:val="17"/>
        <w:szCs w:val="17"/>
      </w:rPr>
      <w:t xml:space="preserve">Judgment Index Australia  ·  Clive Elliott  ·  Jacqueline Lane  ·  © JIAU 2026  ·  jiau.com.au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4" w:space="6"/>
      </w:pBdr>
    </w:pPr>
    <w:r>
      <w:rPr>
        <w:rFonts w:ascii="Arial" w:cs="Arial" w:eastAsia="Arial" w:hAnsi="Arial"/>
        <w:color w:val="4A5568"/>
        <w:sz w:val="18"/>
        <w:szCs w:val="18"/>
      </w:rPr>
      <w:t xml:space="preserve">JIAU White Paper Series - Human-Centric Judgement Intelligence™  ·  jiau.com.au  ·  Confidential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10" w:before="0"/>
      <w:outlineLvl w:val="0"/>
    </w:pPr>
    <w:rPr>
      <w:rFonts w:ascii="Arial" w:cs="Arial" w:eastAsia="Arial" w:hAnsi="Arial"/>
      <w:b/>
      <w:bCs/>
      <w:color w:val="1B3A6B"/>
      <w:sz w:val="34"/>
      <w:szCs w:val="34"/>
    </w:rPr>
  </w:style>
  <w:style w:type="paragraph" w:styleId="Heading2">
    <w:name w:val="Heading 2"/>
    <w:basedOn w:val="Normal"/>
    <w:next w:val="Normal"/>
    <w:qFormat/>
    <w:pPr>
      <w:spacing w:after="90" w:before="240"/>
      <w:outlineLvl w:val="1"/>
    </w:pPr>
    <w:rPr>
      <w:rFonts w:ascii="Arial" w:cs="Arial" w:eastAsia="Arial" w:hAnsi="Arial"/>
      <w:b/>
      <w:bCs/>
      <w:color w:val="1B3A6B"/>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2026-06-04T09:51:54.608Z</dcterms:created>
  <dcterms:modified xsi:type="dcterms:W3CDTF">2026-06-04T09:51:54.608Z</dcterms:modified>
</cp:coreProperties>
</file>

<file path=docProps/custom.xml><?xml version="1.0" encoding="utf-8"?>
<Properties xmlns="http://schemas.openxmlformats.org/officeDocument/2006/custom-properties" xmlns:vt="http://schemas.openxmlformats.org/officeDocument/2006/docPropsVTypes"/>
</file>